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CD038">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drawing>
          <wp:anchor distT="0" distB="0" distL="114300" distR="114300" simplePos="0" relativeHeight="251659264" behindDoc="1" locked="0" layoutInCell="1" allowOverlap="1">
            <wp:simplePos x="0" y="0"/>
            <wp:positionH relativeFrom="column">
              <wp:posOffset>-3810</wp:posOffset>
            </wp:positionH>
            <wp:positionV relativeFrom="paragraph">
              <wp:posOffset>333375</wp:posOffset>
            </wp:positionV>
            <wp:extent cx="5510530" cy="1810385"/>
            <wp:effectExtent l="0" t="0" r="13970" b="18415"/>
            <wp:wrapNone/>
            <wp:docPr id="2" name="图片 2" descr="2021年年审通知加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年审通知加红头文件"/>
                    <pic:cNvPicPr>
                      <a:picLocks noChangeAspect="1"/>
                    </pic:cNvPicPr>
                  </pic:nvPicPr>
                  <pic:blipFill>
                    <a:blip r:embed="rId4"/>
                    <a:stretch>
                      <a:fillRect/>
                    </a:stretch>
                  </pic:blipFill>
                  <pic:spPr>
                    <a:xfrm>
                      <a:off x="0" y="0"/>
                      <a:ext cx="5510530" cy="1810385"/>
                    </a:xfrm>
                    <a:prstGeom prst="rect">
                      <a:avLst/>
                    </a:prstGeom>
                    <a:noFill/>
                    <a:ln>
                      <a:noFill/>
                    </a:ln>
                  </pic:spPr>
                </pic:pic>
              </a:graphicData>
            </a:graphic>
          </wp:anchor>
        </w:drawing>
      </w:r>
    </w:p>
    <w:p w14:paraId="7E4C1544">
      <w:pPr>
        <w:spacing w:line="560" w:lineRule="exact"/>
        <w:jc w:val="center"/>
        <w:rPr>
          <w:rFonts w:hint="eastAsia" w:ascii="方正小标宋简体" w:eastAsia="方正小标宋简体"/>
          <w:sz w:val="44"/>
          <w:szCs w:val="44"/>
        </w:rPr>
      </w:pPr>
    </w:p>
    <w:p w14:paraId="0FD848C4">
      <w:pPr>
        <w:spacing w:line="560" w:lineRule="exact"/>
        <w:jc w:val="center"/>
        <w:rPr>
          <w:rFonts w:hint="eastAsia" w:ascii="方正小标宋简体" w:eastAsia="方正小标宋简体"/>
          <w:sz w:val="44"/>
          <w:szCs w:val="44"/>
        </w:rPr>
      </w:pPr>
    </w:p>
    <w:p w14:paraId="153B7B8B">
      <w:pPr>
        <w:spacing w:line="560" w:lineRule="exact"/>
        <w:jc w:val="center"/>
        <w:rPr>
          <w:rFonts w:hint="eastAsia" w:ascii="方正小标宋简体" w:eastAsia="方正小标宋简体"/>
          <w:sz w:val="44"/>
          <w:szCs w:val="44"/>
        </w:rPr>
      </w:pPr>
      <w:bookmarkStart w:id="0" w:name="_GoBack"/>
      <w:bookmarkEnd w:id="0"/>
    </w:p>
    <w:p w14:paraId="3AA299E3">
      <w:pPr>
        <w:spacing w:line="560" w:lineRule="exact"/>
        <w:jc w:val="center"/>
        <w:rPr>
          <w:rFonts w:hint="eastAsia" w:ascii="方正小标宋简" w:eastAsia="方正小标宋简"/>
          <w:b/>
          <w:bCs w:val="0"/>
          <w:sz w:val="44"/>
          <w:szCs w:val="44"/>
        </w:rPr>
      </w:pPr>
    </w:p>
    <w:p w14:paraId="78580AE3">
      <w:pPr>
        <w:spacing w:line="560" w:lineRule="exact"/>
        <w:jc w:val="center"/>
        <w:rPr>
          <w:rFonts w:hint="eastAsia" w:ascii="方正小标宋简" w:eastAsia="方正小标宋简"/>
          <w:b/>
          <w:bCs w:val="0"/>
          <w:sz w:val="44"/>
          <w:szCs w:val="44"/>
        </w:rPr>
      </w:pPr>
    </w:p>
    <w:p w14:paraId="70E016C6">
      <w:pPr>
        <w:spacing w:line="560" w:lineRule="exact"/>
        <w:jc w:val="center"/>
        <w:rPr>
          <w:rFonts w:hint="eastAsia" w:ascii="方正小标宋简" w:eastAsia="方正小标宋简"/>
          <w:b/>
          <w:bCs w:val="0"/>
          <w:sz w:val="44"/>
          <w:szCs w:val="44"/>
        </w:rPr>
      </w:pPr>
      <w:r>
        <w:rPr>
          <w:rFonts w:hint="eastAsia" w:ascii="方正小标宋简" w:eastAsia="方正小标宋简"/>
          <w:b/>
          <w:bCs w:val="0"/>
          <w:sz w:val="44"/>
          <w:szCs w:val="44"/>
        </w:rPr>
        <w:t>关于办理202</w:t>
      </w:r>
      <w:r>
        <w:rPr>
          <w:rFonts w:hint="eastAsia" w:ascii="方正小标宋简" w:eastAsia="方正小标宋简"/>
          <w:b/>
          <w:bCs w:val="0"/>
          <w:sz w:val="44"/>
          <w:szCs w:val="44"/>
          <w:lang w:val="en-US" w:eastAsia="zh-CN"/>
        </w:rPr>
        <w:t>5</w:t>
      </w:r>
      <w:r>
        <w:rPr>
          <w:rFonts w:hint="eastAsia" w:ascii="方正小标宋简" w:eastAsia="方正小标宋简"/>
          <w:b/>
          <w:bCs w:val="0"/>
          <w:sz w:val="44"/>
          <w:szCs w:val="44"/>
        </w:rPr>
        <w:t>年按比例安排残疾人就业</w:t>
      </w:r>
    </w:p>
    <w:p w14:paraId="26924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小标宋简" w:eastAsia="方正小标宋简"/>
          <w:b/>
          <w:bCs w:val="0"/>
          <w:sz w:val="44"/>
          <w:szCs w:val="44"/>
        </w:rPr>
      </w:pPr>
      <w:r>
        <w:rPr>
          <w:rFonts w:hint="eastAsia" w:ascii="方正小标宋简" w:hAnsi="方正小标宋简" w:eastAsia="方正小标宋简" w:cs="方正小标宋简"/>
          <w:b/>
          <w:bCs w:val="0"/>
          <w:i w:val="0"/>
          <w:iCs w:val="0"/>
          <w:caps w:val="0"/>
          <w:color w:val="333333"/>
          <w:spacing w:val="0"/>
          <w:sz w:val="44"/>
          <w:szCs w:val="44"/>
        </w:rPr>
        <w:t>情况联网认证工作</w:t>
      </w:r>
      <w:r>
        <w:rPr>
          <w:rFonts w:hint="eastAsia" w:ascii="方正小标宋简" w:hAnsi="方正小标宋简" w:eastAsia="方正小标宋简" w:cs="方正小标宋简"/>
          <w:b/>
          <w:bCs w:val="0"/>
          <w:sz w:val="44"/>
          <w:szCs w:val="44"/>
        </w:rPr>
        <w:t>的</w:t>
      </w:r>
      <w:r>
        <w:rPr>
          <w:rFonts w:hint="eastAsia" w:ascii="方正小标宋简" w:hAnsi="宋体" w:eastAsia="方正小标宋简" w:cs="宋体"/>
          <w:b/>
          <w:bCs w:val="0"/>
          <w:sz w:val="44"/>
          <w:szCs w:val="44"/>
        </w:rPr>
        <w:t>通告</w:t>
      </w:r>
    </w:p>
    <w:p w14:paraId="6200E72E">
      <w:pPr>
        <w:widowControl/>
        <w:spacing w:line="500" w:lineRule="exact"/>
        <w:ind w:firstLine="600"/>
        <w:jc w:val="left"/>
        <w:rPr>
          <w:rFonts w:hint="eastAsia" w:ascii="仿宋_GB2312" w:hAnsi="宋体" w:eastAsia="仿宋_GB2312" w:cs="宋体"/>
          <w:color w:val="000000"/>
          <w:kern w:val="0"/>
          <w:sz w:val="32"/>
          <w:szCs w:val="32"/>
        </w:rPr>
      </w:pPr>
    </w:p>
    <w:p w14:paraId="56F65AA6">
      <w:pPr>
        <w:widowControl/>
        <w:spacing w:line="500" w:lineRule="exact"/>
        <w:ind w:firstLine="600"/>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根据《国家发展改革委等六部门印发的〈关于完善残疾人就业保障金制度 更好促进残疾人就业的总体方案〉》</w:t>
      </w:r>
      <w:r>
        <w:rPr>
          <w:rFonts w:hint="eastAsia" w:ascii="仿宋_GB2312" w:eastAsia="仿宋_GB2312" w:cs="仿宋_GB2312"/>
          <w:sz w:val="32"/>
          <w:szCs w:val="32"/>
          <w:lang w:val="zh-CN"/>
        </w:rPr>
        <w:t>（发改价格规〔2019〕2015号）</w:t>
      </w:r>
      <w:r>
        <w:rPr>
          <w:rFonts w:hint="eastAsia" w:ascii="仿宋_GB2312" w:hAnsi="宋体" w:eastAsia="仿宋_GB2312" w:cs="宋体"/>
          <w:color w:val="000000"/>
          <w:kern w:val="0"/>
          <w:sz w:val="32"/>
          <w:szCs w:val="32"/>
        </w:rPr>
        <w:t>、</w:t>
      </w:r>
      <w:r>
        <w:rPr>
          <w:rFonts w:hint="eastAsia" w:ascii="仿宋_GB2312" w:eastAsia="仿宋_GB2312" w:cs="仿宋_GB2312"/>
          <w:sz w:val="32"/>
          <w:szCs w:val="32"/>
          <w:lang w:val="zh-CN"/>
        </w:rPr>
        <w:t>《湖南省财政厅、湖南省地税局、湖南省残联关于转发〈残疾人就业保障金征收使用管理办法〉的通知》（财税〔2016〕46号）、《中国残联办公厅关于全面启动全国残疾人按比例就业情况联网认证“跨省通办”工作的通知》（残联厅函〔2021〕363号）等文件要求</w:t>
      </w:r>
      <w:r>
        <w:rPr>
          <w:rFonts w:hint="eastAsia" w:ascii="仿宋_GB2312" w:hAnsi="宋体" w:eastAsia="仿宋_GB2312" w:cs="宋体"/>
          <w:color w:val="000000"/>
          <w:kern w:val="0"/>
          <w:sz w:val="32"/>
          <w:szCs w:val="32"/>
        </w:rPr>
        <w:t>，现将沅陵县202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年按比例安排残疾人就业</w:t>
      </w:r>
      <w:r>
        <w:rPr>
          <w:rFonts w:hint="eastAsia" w:ascii="仿宋_GB2312" w:hAnsi="宋体" w:eastAsia="仿宋_GB2312" w:cs="宋体"/>
          <w:color w:val="000000"/>
          <w:kern w:val="0"/>
          <w:sz w:val="32"/>
          <w:szCs w:val="32"/>
          <w:lang w:val="en-US" w:eastAsia="zh-CN"/>
        </w:rPr>
        <w:t>情况联网认证</w:t>
      </w:r>
      <w:r>
        <w:rPr>
          <w:rFonts w:hint="eastAsia" w:ascii="仿宋_GB2312" w:hAnsi="宋体" w:eastAsia="仿宋_GB2312" w:cs="宋体"/>
          <w:color w:val="000000"/>
          <w:kern w:val="0"/>
          <w:sz w:val="32"/>
          <w:szCs w:val="32"/>
        </w:rPr>
        <w:t>工作有关事项通告如下：</w:t>
      </w:r>
    </w:p>
    <w:p w14:paraId="4D73C607">
      <w:pPr>
        <w:widowControl/>
        <w:numPr>
          <w:ilvl w:val="0"/>
          <w:numId w:val="1"/>
        </w:numPr>
        <w:spacing w:line="500" w:lineRule="exact"/>
        <w:ind w:firstLine="6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对象</w:t>
      </w:r>
    </w:p>
    <w:p w14:paraId="6FD63401">
      <w:pPr>
        <w:widowControl/>
        <w:spacing w:line="500" w:lineRule="exact"/>
        <w:ind w:firstLine="618" w:firstLineChars="200"/>
        <w:jc w:val="left"/>
        <w:rPr>
          <w:rFonts w:hint="eastAsia" w:ascii="仿宋_GB2312" w:hAnsi="宋体" w:eastAsia="仿宋_GB2312" w:cs="宋体"/>
          <w:b/>
          <w:color w:val="000000"/>
          <w:kern w:val="0"/>
          <w:sz w:val="32"/>
          <w:szCs w:val="32"/>
          <w:lang w:eastAsia="zh-CN"/>
        </w:rPr>
      </w:pPr>
      <w:r>
        <w:rPr>
          <w:rFonts w:hint="eastAsia" w:ascii="仿宋_GB2312" w:hAnsi="仿宋_GB2312" w:eastAsia="仿宋_GB2312" w:cs="仿宋_GB2312"/>
          <w:color w:val="000000"/>
          <w:sz w:val="32"/>
          <w:szCs w:val="32"/>
        </w:rPr>
        <w:t>我县行政区域内的机关、社会团体、企业事业单位</w:t>
      </w:r>
      <w:r>
        <w:rPr>
          <w:rFonts w:hint="eastAsia" w:ascii="仿宋_GB2312" w:hAnsi="仿宋_GB2312" w:eastAsia="仿宋_GB2312" w:cs="仿宋_GB2312"/>
          <w:color w:val="000000"/>
          <w:sz w:val="32"/>
          <w:szCs w:val="32"/>
          <w:lang w:eastAsia="zh-CN"/>
        </w:rPr>
        <w:t>。</w:t>
      </w:r>
    </w:p>
    <w:p w14:paraId="393AB52D">
      <w:pPr>
        <w:widowControl/>
        <w:spacing w:line="500" w:lineRule="exact"/>
        <w:ind w:firstLine="600"/>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二、时间</w:t>
      </w:r>
    </w:p>
    <w:p w14:paraId="6B886ADA">
      <w:pPr>
        <w:spacing w:line="540" w:lineRule="exact"/>
        <w:ind w:firstLine="618" w:firstLineChars="200"/>
        <w:rPr>
          <w:rFonts w:hint="eastAsia" w:ascii="仿宋_GB2312" w:eastAsia="仿宋_GB2312" w:cs="仿宋_GB2312"/>
          <w:sz w:val="32"/>
          <w:szCs w:val="32"/>
          <w:lang w:val="zh-CN"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年</w:t>
      </w:r>
      <w:r>
        <w:rPr>
          <w:rFonts w:hint="eastAsia" w:ascii="仿宋_GB2312" w:eastAsia="仿宋_GB2312" w:cs="仿宋_GB2312"/>
          <w:sz w:val="32"/>
          <w:szCs w:val="32"/>
        </w:rPr>
        <w:t>3</w:t>
      </w:r>
      <w:r>
        <w:rPr>
          <w:rFonts w:hint="eastAsia" w:ascii="仿宋_GB2312" w:hAnsi="宋体" w:eastAsia="仿宋_GB2312" w:cs="宋体"/>
          <w:color w:val="000000"/>
          <w:kern w:val="0"/>
          <w:sz w:val="32"/>
          <w:szCs w:val="32"/>
        </w:rPr>
        <w:t>月1日至</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月3</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日期间的工作日</w:t>
      </w:r>
      <w:r>
        <w:rPr>
          <w:rFonts w:hint="eastAsia" w:ascii="仿宋_GB2312" w:hAnsi="宋体" w:eastAsia="仿宋_GB2312" w:cs="宋体"/>
          <w:color w:val="000000"/>
          <w:kern w:val="0"/>
          <w:sz w:val="32"/>
          <w:szCs w:val="32"/>
          <w:lang w:eastAsia="zh-CN"/>
        </w:rPr>
        <w:t>。</w:t>
      </w:r>
    </w:p>
    <w:p w14:paraId="601514A1">
      <w:pPr>
        <w:widowControl/>
        <w:spacing w:line="500" w:lineRule="exact"/>
        <w:ind w:firstLine="600"/>
        <w:jc w:val="left"/>
        <w:rPr>
          <w:rFonts w:hint="eastAsia" w:ascii="仿宋_GB2312" w:eastAsia="仿宋_GB2312" w:cs="仿宋_GB2312"/>
          <w:b/>
          <w:sz w:val="32"/>
          <w:szCs w:val="32"/>
          <w:lang w:val="zh-CN"/>
        </w:rPr>
      </w:pPr>
      <w:r>
        <w:rPr>
          <w:rFonts w:hint="eastAsia" w:ascii="仿宋_GB2312" w:eastAsia="仿宋_GB2312" w:cs="仿宋_GB2312"/>
          <w:b/>
          <w:sz w:val="32"/>
          <w:szCs w:val="32"/>
          <w:lang w:val="zh-CN"/>
        </w:rPr>
        <w:t>三、审核方式</w:t>
      </w:r>
    </w:p>
    <w:p w14:paraId="344E84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58"/>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各用人单位继续通过湖南省政务服务网“全国残疾人按比例就业情况联网认证系统”</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0"/>
          <w:szCs w:val="30"/>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0"/>
          <w:szCs w:val="30"/>
          <w:u w:val="none"/>
          <w:shd w:val="clear" w:fill="FFFFFF"/>
          <w14:textFill>
            <w14:solidFill>
              <w14:schemeClr w14:val="tx1"/>
            </w14:solidFill>
          </w14:textFill>
        </w:rPr>
        <w:instrText xml:space="preserve"> HYPERLINK "http://zwfw-new.hunan.gov.cn/" \o "外部链接：http://zwfw-new.hunan.gov.cn/" \t "https://www.hndpf.org/hndpf2020/news/tzgg/202502/_blank" </w:instrText>
      </w:r>
      <w:r>
        <w:rPr>
          <w:rFonts w:hint="eastAsia" w:ascii="仿宋_GB2312" w:hAnsi="仿宋_GB2312" w:eastAsia="仿宋_GB2312" w:cs="仿宋_GB2312"/>
          <w:i w:val="0"/>
          <w:iCs w:val="0"/>
          <w:caps w:val="0"/>
          <w:color w:val="000000" w:themeColor="text1"/>
          <w:spacing w:val="0"/>
          <w:sz w:val="30"/>
          <w:szCs w:val="30"/>
          <w:u w:val="none"/>
          <w:shd w:val="clear" w:fill="FFFFFF"/>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0"/>
          <w:szCs w:val="30"/>
          <w:u w:val="single"/>
          <w:shd w:val="clear" w:fill="FFFFFF"/>
          <w14:textFill>
            <w14:solidFill>
              <w14:schemeClr w14:val="tx1"/>
            </w14:solidFill>
          </w14:textFill>
        </w:rPr>
        <w:t>http://zwfw-new.hunan.gov.cn/</w:t>
      </w:r>
      <w:r>
        <w:rPr>
          <w:rFonts w:hint="eastAsia" w:ascii="仿宋_GB2312" w:hAnsi="仿宋_GB2312" w:eastAsia="仿宋_GB2312" w:cs="仿宋_GB2312"/>
          <w:i w:val="0"/>
          <w:iCs w:val="0"/>
          <w:caps w:val="0"/>
          <w:color w:val="000000" w:themeColor="text1"/>
          <w:spacing w:val="0"/>
          <w:sz w:val="30"/>
          <w:szCs w:val="30"/>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申报、办理残疾人按比例就业情况联网认证审核。请各单位优先选择“零跑路”的线上申报办理方式。</w:t>
      </w:r>
    </w:p>
    <w:p w14:paraId="7C06F8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58"/>
        <w:jc w:val="both"/>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i w:val="0"/>
          <w:iCs w:val="0"/>
          <w:caps w:val="0"/>
          <w:color w:val="333333"/>
          <w:spacing w:val="0"/>
          <w:sz w:val="32"/>
          <w:szCs w:val="32"/>
          <w:shd w:val="clear" w:fill="FFFFFF"/>
        </w:rPr>
        <w:t>来</w:t>
      </w:r>
      <w:r>
        <w:rPr>
          <w:rFonts w:hint="eastAsia" w:ascii="仿宋_GB2312" w:hAnsi="仿宋_GB2312" w:eastAsia="仿宋_GB2312" w:cs="仿宋_GB2312"/>
          <w:i w:val="0"/>
          <w:iCs w:val="0"/>
          <w:caps w:val="0"/>
          <w:color w:val="333333"/>
          <w:spacing w:val="0"/>
          <w:sz w:val="32"/>
          <w:szCs w:val="32"/>
          <w:shd w:val="clear" w:fill="FFFFFF"/>
          <w:lang w:val="en-US" w:eastAsia="zh-CN"/>
        </w:rPr>
        <w:t>残联</w:t>
      </w:r>
      <w:r>
        <w:rPr>
          <w:rFonts w:hint="eastAsia" w:ascii="仿宋_GB2312" w:hAnsi="仿宋_GB2312" w:eastAsia="仿宋_GB2312" w:cs="仿宋_GB2312"/>
          <w:sz w:val="32"/>
          <w:szCs w:val="32"/>
        </w:rPr>
        <w:t>综合服务大厅</w:t>
      </w:r>
      <w:r>
        <w:rPr>
          <w:rFonts w:hint="eastAsia" w:ascii="仿宋_GB2312" w:hAnsi="仿宋_GB2312" w:eastAsia="仿宋_GB2312" w:cs="仿宋_GB2312"/>
          <w:i w:val="0"/>
          <w:iCs w:val="0"/>
          <w:caps w:val="0"/>
          <w:color w:val="333333"/>
          <w:spacing w:val="0"/>
          <w:sz w:val="32"/>
          <w:szCs w:val="32"/>
          <w:shd w:val="clear" w:fill="FFFFFF"/>
        </w:rPr>
        <w:t>线下办理的用人单位，需自行通过 “全国残疾人按比例就业情况联网认证系统”进行现场申报，扫描、上传资料，办理流程与“零跑路”的线上申报方式相同，并且需要将申报材料留存在年审大厅。</w:t>
      </w:r>
    </w:p>
    <w:p w14:paraId="33266355">
      <w:pPr>
        <w:widowControl/>
        <w:spacing w:line="500" w:lineRule="exact"/>
        <w:ind w:firstLine="600"/>
        <w:jc w:val="left"/>
        <w:rPr>
          <w:rFonts w:hint="eastAsia" w:ascii="仿宋_GB2312" w:eastAsia="仿宋_GB2312" w:cs="仿宋_GB2312"/>
          <w:sz w:val="32"/>
          <w:szCs w:val="32"/>
          <w:lang w:eastAsia="zh-CN"/>
        </w:rPr>
      </w:pPr>
      <w:r>
        <w:rPr>
          <w:rFonts w:hint="eastAsia" w:ascii="仿宋_GB2312" w:eastAsia="仿宋_GB2312" w:cs="仿宋_GB2312"/>
          <w:sz w:val="32"/>
          <w:szCs w:val="32"/>
          <w:lang w:val="zh-CN"/>
        </w:rPr>
        <w:t>线下办理地址：</w:t>
      </w:r>
      <w:r>
        <w:rPr>
          <w:rFonts w:hint="eastAsia" w:ascii="仿宋_GB2312" w:eastAsia="仿宋_GB2312" w:cs="仿宋_GB2312"/>
          <w:sz w:val="32"/>
          <w:szCs w:val="32"/>
        </w:rPr>
        <w:t>沅陵县残疾人联合会综合服务大厅</w:t>
      </w:r>
      <w:r>
        <w:rPr>
          <w:rFonts w:hint="eastAsia" w:ascii="仿宋_GB2312" w:eastAsia="仿宋_GB2312" w:cs="仿宋_GB2312"/>
          <w:sz w:val="32"/>
          <w:szCs w:val="32"/>
          <w:lang w:eastAsia="zh-CN"/>
        </w:rPr>
        <w:t>。</w:t>
      </w:r>
    </w:p>
    <w:p w14:paraId="7AE9A4A1">
      <w:pPr>
        <w:widowControl/>
        <w:spacing w:line="500" w:lineRule="exact"/>
        <w:ind w:firstLine="600"/>
        <w:jc w:val="left"/>
        <w:rPr>
          <w:rFonts w:ascii="仿宋_GB2312" w:eastAsia="仿宋_GB2312" w:cs="仿宋_GB2312"/>
          <w:b/>
          <w:sz w:val="32"/>
          <w:szCs w:val="32"/>
          <w:lang w:val="zh-CN"/>
        </w:rPr>
      </w:pPr>
      <w:r>
        <w:rPr>
          <w:rFonts w:hint="eastAsia" w:ascii="仿宋_GB2312" w:eastAsia="仿宋_GB2312" w:cs="仿宋_GB2312"/>
          <w:b/>
          <w:sz w:val="32"/>
          <w:szCs w:val="32"/>
          <w:lang w:val="zh-CN"/>
        </w:rPr>
        <w:t>四、材料要求</w:t>
      </w:r>
    </w:p>
    <w:p w14:paraId="4A94CAD0">
      <w:pPr>
        <w:widowControl/>
        <w:spacing w:line="500" w:lineRule="exact"/>
        <w:ind w:firstLine="600"/>
        <w:jc w:val="left"/>
        <w:rPr>
          <w:rFonts w:hint="eastAsia" w:ascii="仿宋_GB2312" w:eastAsia="仿宋_GB2312" w:cs="仿宋_GB2312"/>
          <w:sz w:val="32"/>
          <w:szCs w:val="32"/>
          <w:lang w:val="zh-CN"/>
        </w:rPr>
      </w:pPr>
      <w:r>
        <w:rPr>
          <w:rFonts w:hint="eastAsia" w:ascii="仿宋_GB2312" w:eastAsia="仿宋_GB2312" w:cs="仿宋_GB2312"/>
          <w:sz w:val="32"/>
          <w:szCs w:val="32"/>
          <w:lang w:val="zh-CN"/>
        </w:rPr>
        <w:t>线下申报材料详见附件。</w:t>
      </w:r>
    </w:p>
    <w:p w14:paraId="04F47289">
      <w:pPr>
        <w:widowControl/>
        <w:spacing w:line="500" w:lineRule="exact"/>
        <w:ind w:firstLine="600"/>
        <w:jc w:val="left"/>
        <w:rPr>
          <w:rFonts w:hint="eastAsia" w:ascii="仿宋_GB2312" w:eastAsia="仿宋_GB2312" w:cs="仿宋_GB2312"/>
          <w:b/>
          <w:sz w:val="32"/>
          <w:szCs w:val="32"/>
          <w:lang w:val="zh-CN"/>
        </w:rPr>
      </w:pPr>
      <w:r>
        <w:rPr>
          <w:rFonts w:hint="eastAsia" w:ascii="仿宋_GB2312" w:eastAsia="仿宋_GB2312" w:cs="仿宋_GB2312"/>
          <w:b/>
          <w:sz w:val="32"/>
          <w:szCs w:val="32"/>
          <w:lang w:val="zh-CN"/>
        </w:rPr>
        <w:t>五、要求</w:t>
      </w:r>
    </w:p>
    <w:p w14:paraId="6956FF9A">
      <w:pPr>
        <w:widowControl/>
        <w:spacing w:line="500" w:lineRule="exact"/>
        <w:ind w:firstLine="600"/>
        <w:jc w:val="left"/>
        <w:rPr>
          <w:rFonts w:hint="eastAsia" w:ascii="仿宋_GB2312" w:eastAsia="仿宋_GB2312" w:cs="仿宋_GB2312"/>
          <w:sz w:val="32"/>
          <w:szCs w:val="32"/>
          <w:lang w:val="zh-CN"/>
        </w:rPr>
      </w:pPr>
      <w:r>
        <w:rPr>
          <w:rFonts w:hint="eastAsia" w:ascii="仿宋_GB2312" w:eastAsia="仿宋_GB2312" w:cs="仿宋_GB2312"/>
          <w:sz w:val="32"/>
          <w:szCs w:val="32"/>
          <w:lang w:val="zh-CN"/>
        </w:rPr>
        <w:t>（一）请相关单位在3、</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val="zh-CN"/>
        </w:rPr>
        <w:t>月份尽早申报按比例安排残疾人就业情况审核认定，避免</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月份扎堆申报而导致无法及时反馈相关信息，影响本单位202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年按比例安排残疾人就业年审认定结果使用。未在规定时间申报的，视为未安排残疾人就业，全额计征残疾人就业保障金。</w:t>
      </w:r>
    </w:p>
    <w:p w14:paraId="734D5BCF">
      <w:pPr>
        <w:spacing w:line="540" w:lineRule="exact"/>
        <w:ind w:firstLine="618"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二）用人单位系统申报成功到办结年审结果的时限为22个工作日。用人单位查询到系统提示“已审核——通过”后需点击“完成申报”，待我会发送税务部门后，方可自行打印《按比例安排残疾人就业审核认定书》，前往税务部门申报缴纳残疾人就业保障金;如果查询到 “已审核——未通过”的，请根据系统提示尽快上传相关资料。</w:t>
      </w:r>
    </w:p>
    <w:p w14:paraId="04CFCF37">
      <w:pPr>
        <w:widowControl/>
        <w:spacing w:line="500" w:lineRule="exact"/>
        <w:ind w:firstLine="600"/>
        <w:jc w:val="left"/>
        <w:rPr>
          <w:rFonts w:hint="eastAsia" w:ascii="仿宋_GB2312" w:eastAsia="仿宋_GB2312" w:cs="仿宋_GB2312"/>
          <w:sz w:val="32"/>
          <w:szCs w:val="32"/>
          <w:lang w:val="zh-CN"/>
        </w:rPr>
      </w:pPr>
      <w:r>
        <w:rPr>
          <w:rFonts w:hint="eastAsia" w:ascii="仿宋_GB2312" w:eastAsia="仿宋_GB2312" w:cs="仿宋_GB2312"/>
          <w:sz w:val="32"/>
          <w:szCs w:val="32"/>
          <w:lang w:val="zh-CN"/>
        </w:rPr>
        <w:t>（三）用人单位所申报的残疾职工要符合 “持有在有效期内的《中华人民共和国残疾人证》，签订1年以上（含1年）劳动合同（服务协议）且实际上岗工作，用人单位实际支付的工资不低于当地最低工资标准、足额缴纳社会保险费”等基本要求。</w:t>
      </w:r>
    </w:p>
    <w:p w14:paraId="4A852DCE">
      <w:pPr>
        <w:widowControl/>
        <w:spacing w:line="500" w:lineRule="exact"/>
        <w:ind w:firstLine="600"/>
        <w:jc w:val="left"/>
        <w:rPr>
          <w:rFonts w:hint="eastAsia" w:ascii="仿宋_GB2312" w:eastAsia="仿宋_GB2312" w:cs="仿宋_GB2312"/>
          <w:sz w:val="32"/>
          <w:szCs w:val="32"/>
          <w:lang w:val="zh-CN"/>
        </w:rPr>
      </w:pPr>
      <w:r>
        <w:rPr>
          <w:rFonts w:hint="eastAsia" w:ascii="仿宋_GB2312" w:hAnsi="Times New Roman" w:eastAsia="仿宋_GB2312" w:cs="仿宋_GB2312"/>
          <w:sz w:val="32"/>
          <w:szCs w:val="32"/>
          <w:lang w:val="zh-CN"/>
        </w:rPr>
        <w:t>（四）</w:t>
      </w:r>
      <w:r>
        <w:rPr>
          <w:rFonts w:hint="eastAsia" w:ascii="仿宋_GB2312" w:eastAsia="仿宋_GB2312" w:cs="仿宋_GB2312"/>
          <w:sz w:val="32"/>
          <w:szCs w:val="32"/>
          <w:lang w:val="zh-CN"/>
        </w:rPr>
        <w:t>申报过程中，工资和社保数据信息，如系统数据库未能自动核验的，需将相关证明材料（例如：残疾职工1-12月份月工资银行流水、社保凭证）进行扫描、上传。有公务员编或全额拨款事业编制的残疾职工，其工资凭证可以是加盖单位公章的残疾职工工资发放表，其余残疾职工，需上传提供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val="zh-CN"/>
        </w:rPr>
        <w:t>年全年的工资发放的银行流水凭证。</w:t>
      </w:r>
    </w:p>
    <w:p w14:paraId="694A042F">
      <w:pPr>
        <w:pStyle w:val="7"/>
        <w:spacing w:line="500" w:lineRule="exact"/>
        <w:ind w:firstLine="617"/>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五）用工单位依法以劳务派遣方式安排残疾人就业的，可计入用人单位或劳务派遣单位，不得重复计入。计入用工单位的，应提交劳务派遣单位与用工单位签订的劳务派遣协议、派遣单位同意残疾职工计入用工单位的书面说明。劳务派遣协议应约定派遣岗位、人员数量、派遣期限、劳动报酬和社会保险费等内容。</w:t>
      </w:r>
    </w:p>
    <w:p w14:paraId="0B240791">
      <w:pPr>
        <w:pStyle w:val="7"/>
        <w:spacing w:line="500" w:lineRule="exact"/>
        <w:ind w:firstLine="617"/>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（六）合同制的残疾职工，要将其劳动合同扫描，上传提交至系统中。采取劳务派遣的残疾职工，需扫描、上传劳务派遣合同和劳务派遣计入说明等材料。</w:t>
      </w:r>
    </w:p>
    <w:p w14:paraId="4EA54FEC">
      <w:pPr>
        <w:pStyle w:val="7"/>
        <w:spacing w:line="500" w:lineRule="exact"/>
        <w:ind w:firstLine="617"/>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（七）严格落实《中国人民共和国残疾人证管理办法》，联网认证“跨省通办”以残疾人人口基础数据库推送的信息为准，残疾人证不在有效期内的不予审核通过。</w:t>
      </w:r>
    </w:p>
    <w:p w14:paraId="3B3B7864">
      <w:pPr>
        <w:spacing w:line="540" w:lineRule="exact"/>
        <w:ind w:firstLine="618" w:firstLineChars="200"/>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（八）</w:t>
      </w:r>
      <w:r>
        <w:rPr>
          <w:rFonts w:hint="eastAsia" w:ascii="仿宋_GB2312" w:eastAsia="仿宋_GB2312" w:cs="仿宋_GB2312"/>
          <w:sz w:val="32"/>
          <w:szCs w:val="32"/>
        </w:rPr>
        <w:t>根据</w:t>
      </w:r>
      <w:r>
        <w:rPr>
          <w:rFonts w:ascii="仿宋_GB2312" w:eastAsia="仿宋_GB2312" w:cs="仿宋_GB2312"/>
          <w:bCs/>
          <w:sz w:val="32"/>
          <w:szCs w:val="32"/>
        </w:rPr>
        <w:t>国家税务总局湖南省税务局</w:t>
      </w:r>
      <w:r>
        <w:rPr>
          <w:rFonts w:hint="eastAsia" w:ascii="仿宋_GB2312" w:eastAsia="仿宋_GB2312" w:cs="仿宋_GB2312"/>
          <w:bCs/>
          <w:sz w:val="32"/>
          <w:szCs w:val="32"/>
        </w:rPr>
        <w:t>、</w:t>
      </w:r>
      <w:r>
        <w:rPr>
          <w:rFonts w:ascii="仿宋_GB2312" w:eastAsia="仿宋_GB2312" w:cs="仿宋_GB2312"/>
          <w:bCs/>
          <w:sz w:val="32"/>
          <w:szCs w:val="32"/>
        </w:rPr>
        <w:t>湖南省财政厅</w:t>
      </w:r>
      <w:r>
        <w:rPr>
          <w:rFonts w:hint="eastAsia" w:ascii="仿宋_GB2312" w:eastAsia="仿宋_GB2312" w:cs="仿宋_GB2312"/>
          <w:bCs/>
          <w:sz w:val="32"/>
          <w:szCs w:val="32"/>
        </w:rPr>
        <w:t>、</w:t>
      </w:r>
      <w:r>
        <w:rPr>
          <w:rFonts w:ascii="仿宋_GB2312" w:eastAsia="仿宋_GB2312" w:cs="仿宋_GB2312"/>
          <w:bCs/>
          <w:sz w:val="32"/>
          <w:szCs w:val="32"/>
        </w:rPr>
        <w:t>湖南省残疾人联合会</w:t>
      </w:r>
      <w:r>
        <w:rPr>
          <w:rFonts w:hint="eastAsia" w:ascii="仿宋_GB2312" w:eastAsia="仿宋_GB2312" w:cs="仿宋_GB2312"/>
          <w:bCs/>
          <w:sz w:val="32"/>
          <w:szCs w:val="32"/>
        </w:rPr>
        <w:t>《</w:t>
      </w:r>
      <w:r>
        <w:rPr>
          <w:rFonts w:ascii="仿宋_GB2312" w:eastAsia="仿宋_GB2312" w:cs="仿宋_GB2312"/>
          <w:bCs/>
          <w:sz w:val="32"/>
          <w:szCs w:val="32"/>
        </w:rPr>
        <w:t>关于调整残疾人就业保障金申报缴纳期限的公告</w:t>
      </w:r>
      <w:r>
        <w:rPr>
          <w:rFonts w:hint="eastAsia" w:ascii="仿宋_GB2312" w:eastAsia="仿宋_GB2312" w:cs="仿宋_GB2312"/>
          <w:bCs/>
          <w:sz w:val="32"/>
          <w:szCs w:val="32"/>
        </w:rPr>
        <w:t>》（</w:t>
      </w:r>
      <w:r>
        <w:rPr>
          <w:rFonts w:ascii="仿宋_GB2312" w:eastAsia="仿宋_GB2312" w:cs="仿宋_GB2312"/>
          <w:sz w:val="32"/>
          <w:szCs w:val="32"/>
        </w:rPr>
        <w:t>2023年第5号</w:t>
      </w:r>
      <w:r>
        <w:rPr>
          <w:rFonts w:hint="eastAsia" w:ascii="仿宋_GB2312" w:eastAsia="仿宋_GB2312" w:cs="仿宋_GB2312"/>
          <w:bCs/>
          <w:sz w:val="32"/>
          <w:szCs w:val="32"/>
        </w:rPr>
        <w:t>）</w:t>
      </w:r>
      <w:r>
        <w:rPr>
          <w:rFonts w:hint="eastAsia" w:ascii="仿宋_GB2312" w:eastAsia="仿宋_GB2312" w:cs="仿宋_GB2312"/>
          <w:sz w:val="32"/>
          <w:szCs w:val="32"/>
        </w:rPr>
        <w:t>，</w:t>
      </w:r>
      <w:r>
        <w:rPr>
          <w:rFonts w:ascii="仿宋_GB2312" w:eastAsia="仿宋_GB2312" w:cs="仿宋_GB2312"/>
          <w:sz w:val="32"/>
          <w:szCs w:val="32"/>
        </w:rPr>
        <w:t>自2024年起，我省用人单位</w:t>
      </w:r>
      <w:r>
        <w:rPr>
          <w:rFonts w:hint="eastAsia" w:ascii="仿宋_GB2312" w:eastAsia="仿宋_GB2312" w:cs="仿宋_GB2312"/>
          <w:sz w:val="32"/>
          <w:szCs w:val="32"/>
        </w:rPr>
        <w:t>残疾人就业保障金</w:t>
      </w:r>
      <w:r>
        <w:rPr>
          <w:rFonts w:ascii="仿宋_GB2312" w:eastAsia="仿宋_GB2312" w:cs="仿宋_GB2312"/>
          <w:sz w:val="32"/>
          <w:szCs w:val="32"/>
        </w:rPr>
        <w:t>申报缴纳期限统一调整为按年申报缴纳</w:t>
      </w:r>
      <w:r>
        <w:rPr>
          <w:rFonts w:hint="eastAsia" w:ascii="仿宋_GB2312" w:eastAsia="仿宋_GB2312" w:cs="仿宋_GB2312"/>
          <w:sz w:val="32"/>
          <w:szCs w:val="32"/>
        </w:rPr>
        <w:t>，</w:t>
      </w:r>
      <w:r>
        <w:rPr>
          <w:rFonts w:ascii="仿宋_GB2312" w:eastAsia="仿宋_GB2312" w:cs="仿宋_GB2312"/>
          <w:sz w:val="32"/>
          <w:szCs w:val="32"/>
        </w:rPr>
        <w:t>征期为每年6月1日至11月30日，用人单位在此期间一次性申报缴纳本年度</w:t>
      </w:r>
      <w:r>
        <w:rPr>
          <w:rFonts w:hint="eastAsia" w:ascii="仿宋_GB2312" w:eastAsia="仿宋_GB2312" w:cs="仿宋_GB2312"/>
          <w:sz w:val="32"/>
          <w:szCs w:val="32"/>
        </w:rPr>
        <w:t>残疾人就业保障金</w:t>
      </w:r>
      <w:r>
        <w:rPr>
          <w:rFonts w:ascii="仿宋_GB2312" w:eastAsia="仿宋_GB2312" w:cs="仿宋_GB2312"/>
          <w:sz w:val="32"/>
          <w:szCs w:val="32"/>
        </w:rPr>
        <w:t>。</w:t>
      </w:r>
    </w:p>
    <w:p w14:paraId="013291B8">
      <w:pPr>
        <w:pStyle w:val="7"/>
        <w:spacing w:line="500" w:lineRule="exact"/>
        <w:ind w:firstLine="617"/>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（九）请各一级预算单位负责通知二级单位办理按比例安排残疾人就业情况核定并告知注意事项。</w:t>
      </w:r>
    </w:p>
    <w:p w14:paraId="53103A9D">
      <w:pPr>
        <w:pStyle w:val="7"/>
        <w:spacing w:line="500" w:lineRule="exact"/>
        <w:ind w:firstLine="617"/>
        <w:rPr>
          <w:rFonts w:hint="eastAsia"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en-US" w:eastAsia="zh-CN"/>
        </w:rPr>
        <w:t>十</w:t>
      </w:r>
      <w:r>
        <w:rPr>
          <w:rFonts w:hint="eastAsia" w:ascii="仿宋_GB2312" w:hAnsi="Times New Roman" w:eastAsia="仿宋_GB2312" w:cs="仿宋_GB2312"/>
          <w:sz w:val="32"/>
          <w:szCs w:val="32"/>
          <w:lang w:val="zh-CN"/>
        </w:rPr>
        <w:t>）用人单位申报安排残疾人就业情况时提交的材料应当完整、真实、有效，并承担相应的法律责任。</w:t>
      </w:r>
      <w:r>
        <w:rPr>
          <w:rFonts w:hint="eastAsia" w:ascii="仿宋_GB2312" w:hAnsi="Times New Roman" w:eastAsia="仿宋_GB2312" w:cs="仿宋_GB2312"/>
          <w:sz w:val="32"/>
          <w:szCs w:val="32"/>
        </w:rPr>
        <w:t>沅陵县残联</w:t>
      </w:r>
      <w:r>
        <w:rPr>
          <w:rFonts w:hint="eastAsia" w:ascii="仿宋_GB2312" w:hAnsi="Times New Roman" w:eastAsia="仿宋_GB2312" w:cs="仿宋_GB2312"/>
          <w:sz w:val="32"/>
          <w:szCs w:val="32"/>
          <w:lang w:val="zh-CN"/>
        </w:rPr>
        <w:t>将根据各单位系统申报情况，加大对用人单位安排残疾人就业情况的实地核实力度，请相关单位予以积极配合。</w:t>
      </w:r>
    </w:p>
    <w:p w14:paraId="1F0E254B">
      <w:pPr>
        <w:widowControl/>
        <w:spacing w:line="500" w:lineRule="exact"/>
        <w:ind w:firstLine="600"/>
        <w:jc w:val="left"/>
        <w:rPr>
          <w:rFonts w:hint="eastAsia" w:ascii="仿宋_GB2312" w:eastAsia="仿宋_GB2312" w:cs="仿宋_GB2312"/>
          <w:b/>
          <w:sz w:val="32"/>
          <w:szCs w:val="32"/>
          <w:lang w:val="zh-CN"/>
        </w:rPr>
      </w:pPr>
      <w:r>
        <w:rPr>
          <w:rFonts w:hint="eastAsia" w:ascii="仿宋_GB2312" w:eastAsia="仿宋_GB2312" w:cs="仿宋_GB2312"/>
          <w:b/>
          <w:sz w:val="32"/>
          <w:szCs w:val="32"/>
          <w:lang w:val="zh-CN"/>
        </w:rPr>
        <w:t>六、法律责任</w:t>
      </w:r>
    </w:p>
    <w:p w14:paraId="3675F2D1">
      <w:pPr>
        <w:widowControl/>
        <w:spacing w:line="500" w:lineRule="exact"/>
        <w:ind w:firstLine="600"/>
        <w:jc w:val="left"/>
        <w:rPr>
          <w:rFonts w:hint="eastAsia" w:ascii="仿宋_GB2312" w:eastAsia="仿宋_GB2312" w:cs="仿宋_GB2312"/>
          <w:sz w:val="32"/>
          <w:szCs w:val="32"/>
          <w:lang w:val="zh-CN"/>
        </w:rPr>
      </w:pPr>
      <w:r>
        <w:rPr>
          <w:rFonts w:hint="eastAsia" w:ascii="仿宋_GB2312" w:eastAsia="仿宋_GB2312" w:cs="仿宋_GB2312"/>
          <w:sz w:val="32"/>
          <w:szCs w:val="32"/>
          <w:lang w:val="zh-CN"/>
        </w:rPr>
        <w:t>用人单位未按规定缴纳保障金的，依法予以警告，责令限期缴纳；逾期仍不缴纳的，除补缴欠缴数额外，自欠缴之日起，按日加收5‰的滞纳金。</w:t>
      </w:r>
    </w:p>
    <w:p w14:paraId="53FA2BFB">
      <w:pPr>
        <w:widowControl/>
        <w:spacing w:line="500" w:lineRule="exact"/>
        <w:ind w:firstLine="618"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zh-CN"/>
        </w:rPr>
        <w:t>咨询电话：</w:t>
      </w:r>
      <w:r>
        <w:rPr>
          <w:rFonts w:hint="eastAsia" w:ascii="仿宋_GB2312" w:eastAsia="仿宋_GB2312" w:cs="仿宋_GB2312"/>
          <w:sz w:val="32"/>
          <w:szCs w:val="32"/>
        </w:rPr>
        <w:t>瞿继尧</w:t>
      </w:r>
      <w:r>
        <w:rPr>
          <w:rFonts w:hint="eastAsia" w:ascii="仿宋_GB2312" w:eastAsia="仿宋_GB2312" w:cs="仿宋_GB2312"/>
          <w:sz w:val="32"/>
          <w:szCs w:val="32"/>
          <w:lang w:val="zh-CN"/>
        </w:rPr>
        <w:t xml:space="preserve">  07</w:t>
      </w:r>
      <w:r>
        <w:rPr>
          <w:rFonts w:hint="eastAsia" w:ascii="仿宋_GB2312" w:eastAsia="仿宋_GB2312" w:cs="仿宋_GB2312"/>
          <w:sz w:val="32"/>
          <w:szCs w:val="32"/>
        </w:rPr>
        <w:t>45</w:t>
      </w:r>
      <w:r>
        <w:rPr>
          <w:rFonts w:hint="eastAsia" w:ascii="仿宋_GB2312" w:eastAsia="仿宋_GB2312" w:cs="仿宋_GB2312"/>
          <w:sz w:val="32"/>
          <w:szCs w:val="32"/>
          <w:lang w:val="zh-CN"/>
        </w:rPr>
        <w:t>-</w:t>
      </w:r>
      <w:r>
        <w:rPr>
          <w:rFonts w:hint="eastAsia" w:ascii="仿宋_GB2312" w:eastAsia="仿宋_GB2312" w:cs="仿宋_GB2312"/>
          <w:sz w:val="32"/>
          <w:szCs w:val="32"/>
        </w:rPr>
        <w:t xml:space="preserve">4322196    </w:t>
      </w:r>
      <w:r>
        <w:rPr>
          <w:rFonts w:hint="eastAsia" w:ascii="仿宋_GB2312" w:eastAsia="仿宋_GB2312" w:cs="仿宋_GB2312"/>
          <w:sz w:val="32"/>
          <w:szCs w:val="32"/>
          <w:lang w:val="en-US" w:eastAsia="zh-CN"/>
        </w:rPr>
        <w:t>13787568126</w:t>
      </w:r>
    </w:p>
    <w:p w14:paraId="3729C853">
      <w:pPr>
        <w:widowControl/>
        <w:spacing w:line="500" w:lineRule="exact"/>
        <w:ind w:firstLine="618" w:firstLineChars="200"/>
        <w:jc w:val="left"/>
        <w:rPr>
          <w:rFonts w:ascii="仿宋_GB2312" w:eastAsia="仿宋_GB2312" w:cs="仿宋_GB2312"/>
          <w:sz w:val="32"/>
          <w:szCs w:val="32"/>
        </w:rPr>
      </w:pPr>
    </w:p>
    <w:p w14:paraId="3B6C0B5C">
      <w:pPr>
        <w:widowControl/>
        <w:spacing w:line="500" w:lineRule="exact"/>
        <w:jc w:val="left"/>
        <w:rPr>
          <w:rFonts w:hint="eastAsia" w:ascii="宋体" w:hAnsi="宋体" w:cs="宋体"/>
          <w:color w:val="000000"/>
          <w:kern w:val="0"/>
          <w:sz w:val="32"/>
          <w:szCs w:val="32"/>
        </w:rPr>
      </w:pPr>
    </w:p>
    <w:p w14:paraId="4186C814">
      <w:pPr>
        <w:widowControl/>
        <w:spacing w:line="500" w:lineRule="exact"/>
        <w:ind w:firstLine="618" w:firstLineChars="200"/>
        <w:jc w:val="left"/>
        <w:rPr>
          <w:rFonts w:hint="eastAsia" w:ascii="仿宋_GB2312" w:eastAsia="仿宋_GB2312"/>
          <w:sz w:val="32"/>
          <w:szCs w:val="32"/>
          <w:lang w:val="zh-CN"/>
        </w:rPr>
      </w:pPr>
      <w:r>
        <w:rPr>
          <w:rFonts w:hint="eastAsia" w:ascii="仿宋_GB2312" w:eastAsia="仿宋_GB2312"/>
          <w:sz w:val="32"/>
          <w:szCs w:val="32"/>
          <w:lang w:val="zh-CN"/>
        </w:rPr>
        <w:t>附件：按比例安排残疾人就业情况核定线下办理材料清单</w:t>
      </w:r>
    </w:p>
    <w:p w14:paraId="66DDD7BF">
      <w:pPr>
        <w:widowControl/>
        <w:spacing w:line="500" w:lineRule="exact"/>
        <w:ind w:firstLine="1854" w:firstLineChars="600"/>
        <w:jc w:val="left"/>
        <w:rPr>
          <w:rFonts w:hint="eastAsia" w:ascii="仿宋_GB2312" w:eastAsia="仿宋_GB2312"/>
          <w:sz w:val="32"/>
          <w:szCs w:val="32"/>
          <w:lang w:val="zh-CN"/>
        </w:rPr>
      </w:pPr>
      <w:r>
        <w:rPr>
          <w:rFonts w:hint="eastAsia" w:ascii="仿宋_GB2312" w:eastAsia="仿宋_GB2312"/>
          <w:sz w:val="32"/>
          <w:szCs w:val="32"/>
          <w:lang w:val="zh-CN"/>
        </w:rPr>
        <w:t xml:space="preserve">   </w:t>
      </w:r>
    </w:p>
    <w:p w14:paraId="40A13CCF">
      <w:pPr>
        <w:widowControl/>
        <w:spacing w:line="500" w:lineRule="exact"/>
        <w:jc w:val="left"/>
        <w:rPr>
          <w:rFonts w:hint="eastAsia" w:ascii="宋体" w:hAnsi="宋体" w:cs="宋体"/>
          <w:color w:val="000000"/>
          <w:kern w:val="0"/>
          <w:sz w:val="32"/>
          <w:szCs w:val="32"/>
        </w:rPr>
      </w:pPr>
    </w:p>
    <w:p w14:paraId="7BD0F1BD">
      <w:pPr>
        <w:widowControl/>
        <w:spacing w:line="500" w:lineRule="exact"/>
        <w:jc w:val="left"/>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drawing>
          <wp:anchor distT="0" distB="0" distL="114300" distR="114300" simplePos="0" relativeHeight="251660288" behindDoc="1" locked="0" layoutInCell="1" allowOverlap="1">
            <wp:simplePos x="0" y="0"/>
            <wp:positionH relativeFrom="column">
              <wp:posOffset>3620135</wp:posOffset>
            </wp:positionH>
            <wp:positionV relativeFrom="paragraph">
              <wp:posOffset>168910</wp:posOffset>
            </wp:positionV>
            <wp:extent cx="1478280" cy="1478280"/>
            <wp:effectExtent l="0" t="0" r="7620" b="7620"/>
            <wp:wrapNone/>
            <wp:docPr id="1" name="图片 3"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1"/>
                    <pic:cNvPicPr>
                      <a:picLocks noChangeAspect="1"/>
                    </pic:cNvPicPr>
                  </pic:nvPicPr>
                  <pic:blipFill>
                    <a:blip r:embed="rId5"/>
                    <a:stretch>
                      <a:fillRect/>
                    </a:stretch>
                  </pic:blipFill>
                  <pic:spPr>
                    <a:xfrm>
                      <a:off x="0" y="0"/>
                      <a:ext cx="1478280" cy="1478280"/>
                    </a:xfrm>
                    <a:prstGeom prst="rect">
                      <a:avLst/>
                    </a:prstGeom>
                    <a:noFill/>
                    <a:ln>
                      <a:noFill/>
                    </a:ln>
                  </pic:spPr>
                </pic:pic>
              </a:graphicData>
            </a:graphic>
          </wp:anchor>
        </w:drawing>
      </w:r>
    </w:p>
    <w:p w14:paraId="0D64E049">
      <w:pPr>
        <w:widowControl/>
        <w:spacing w:line="500" w:lineRule="exact"/>
        <w:jc w:val="left"/>
        <w:rPr>
          <w:rFonts w:hint="eastAsia" w:ascii="宋体" w:hAnsi="宋体" w:cs="宋体"/>
          <w:color w:val="000000"/>
          <w:kern w:val="0"/>
          <w:sz w:val="32"/>
          <w:szCs w:val="32"/>
        </w:rPr>
      </w:pPr>
    </w:p>
    <w:p w14:paraId="1681DCC5">
      <w:pPr>
        <w:widowControl/>
        <w:spacing w:line="500" w:lineRule="exact"/>
        <w:ind w:right="634" w:firstLine="600"/>
        <w:jc w:val="righ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沅陵县残疾人联合会      </w:t>
      </w:r>
    </w:p>
    <w:p w14:paraId="3219AB52">
      <w:pPr>
        <w:widowControl/>
        <w:spacing w:line="500" w:lineRule="exact"/>
        <w:ind w:right="634" w:firstLine="6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5</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4</w:t>
      </w:r>
      <w:r>
        <w:rPr>
          <w:rFonts w:ascii="仿宋_GB2312" w:hAnsi="宋体" w:eastAsia="仿宋_GB2312" w:cs="宋体"/>
          <w:color w:val="000000"/>
          <w:kern w:val="0"/>
          <w:sz w:val="32"/>
          <w:szCs w:val="32"/>
        </w:rPr>
        <w:t>日</w:t>
      </w:r>
      <w:r>
        <w:rPr>
          <w:rFonts w:hint="eastAsia" w:ascii="仿宋_GB2312" w:hAnsi="宋体" w:eastAsia="仿宋_GB2312" w:cs="宋体"/>
          <w:color w:val="000000"/>
          <w:kern w:val="0"/>
          <w:sz w:val="32"/>
          <w:szCs w:val="32"/>
        </w:rPr>
        <w:t xml:space="preserve">   </w:t>
      </w:r>
    </w:p>
    <w:p w14:paraId="545298CA">
      <w:pPr>
        <w:widowControl/>
        <w:spacing w:line="500" w:lineRule="exact"/>
        <w:ind w:right="634" w:firstLine="600"/>
        <w:jc w:val="center"/>
        <w:rPr>
          <w:rFonts w:hint="eastAsia" w:ascii="仿宋_GB2312" w:hAnsi="宋体" w:eastAsia="仿宋_GB2312" w:cs="宋体"/>
          <w:color w:val="000000"/>
          <w:kern w:val="0"/>
          <w:sz w:val="32"/>
          <w:szCs w:val="32"/>
        </w:rPr>
      </w:pPr>
    </w:p>
    <w:p w14:paraId="7C2D8724">
      <w:pPr>
        <w:widowControl/>
        <w:spacing w:line="500" w:lineRule="exact"/>
        <w:ind w:right="634" w:firstLine="600"/>
        <w:jc w:val="center"/>
        <w:rPr>
          <w:rFonts w:hint="eastAsia" w:ascii="仿宋_GB2312" w:hAnsi="宋体" w:eastAsia="仿宋_GB2312" w:cs="宋体"/>
          <w:color w:val="000000"/>
          <w:kern w:val="0"/>
          <w:sz w:val="32"/>
          <w:szCs w:val="32"/>
        </w:rPr>
      </w:pPr>
    </w:p>
    <w:p w14:paraId="5129BC06">
      <w:pPr>
        <w:widowControl/>
        <w:spacing w:line="500" w:lineRule="exact"/>
        <w:ind w:right="634" w:firstLine="600"/>
        <w:jc w:val="center"/>
        <w:rPr>
          <w:rFonts w:hint="eastAsia" w:ascii="仿宋_GB2312" w:hAnsi="宋体" w:eastAsia="仿宋_GB2312" w:cs="宋体"/>
          <w:color w:val="000000"/>
          <w:kern w:val="0"/>
          <w:sz w:val="32"/>
          <w:szCs w:val="32"/>
        </w:rPr>
      </w:pPr>
    </w:p>
    <w:p w14:paraId="0860AD20">
      <w:pPr>
        <w:widowControl/>
        <w:spacing w:line="500" w:lineRule="exact"/>
        <w:ind w:right="634" w:firstLine="600"/>
        <w:jc w:val="center"/>
        <w:rPr>
          <w:rFonts w:hint="eastAsia" w:ascii="仿宋_GB2312" w:hAnsi="宋体" w:eastAsia="仿宋_GB2312" w:cs="宋体"/>
          <w:color w:val="000000"/>
          <w:kern w:val="0"/>
          <w:sz w:val="32"/>
          <w:szCs w:val="32"/>
        </w:rPr>
      </w:pPr>
    </w:p>
    <w:p w14:paraId="0605C1A8">
      <w:pPr>
        <w:widowControl/>
        <w:spacing w:line="500" w:lineRule="exact"/>
        <w:ind w:right="634" w:firstLine="600"/>
        <w:jc w:val="center"/>
        <w:rPr>
          <w:rFonts w:hint="eastAsia" w:ascii="仿宋_GB2312" w:hAnsi="宋体" w:eastAsia="仿宋_GB2312" w:cs="宋体"/>
          <w:color w:val="000000"/>
          <w:kern w:val="0"/>
          <w:sz w:val="32"/>
          <w:szCs w:val="32"/>
        </w:rPr>
      </w:pPr>
    </w:p>
    <w:p w14:paraId="43459379">
      <w:pPr>
        <w:widowControl/>
        <w:spacing w:line="500" w:lineRule="exact"/>
        <w:ind w:right="634" w:firstLine="600"/>
        <w:jc w:val="center"/>
        <w:rPr>
          <w:rFonts w:hint="eastAsia" w:ascii="仿宋_GB2312" w:hAnsi="宋体" w:eastAsia="仿宋_GB2312" w:cs="宋体"/>
          <w:color w:val="000000"/>
          <w:kern w:val="0"/>
          <w:sz w:val="32"/>
          <w:szCs w:val="32"/>
        </w:rPr>
      </w:pPr>
    </w:p>
    <w:p w14:paraId="2450489C">
      <w:pPr>
        <w:widowControl/>
        <w:spacing w:line="500" w:lineRule="exact"/>
        <w:ind w:right="634" w:firstLine="600"/>
        <w:jc w:val="center"/>
        <w:rPr>
          <w:rFonts w:hint="eastAsia" w:ascii="仿宋_GB2312" w:hAnsi="宋体" w:eastAsia="仿宋_GB2312" w:cs="宋体"/>
          <w:color w:val="000000"/>
          <w:kern w:val="0"/>
          <w:sz w:val="32"/>
          <w:szCs w:val="32"/>
        </w:rPr>
      </w:pPr>
    </w:p>
    <w:p w14:paraId="6F973121">
      <w:pPr>
        <w:widowControl/>
        <w:spacing w:line="500" w:lineRule="exact"/>
        <w:ind w:right="634" w:firstLine="600"/>
        <w:jc w:val="center"/>
        <w:rPr>
          <w:rFonts w:hint="eastAsia" w:ascii="仿宋_GB2312" w:hAnsi="宋体" w:eastAsia="仿宋_GB2312" w:cs="宋体"/>
          <w:color w:val="000000"/>
          <w:kern w:val="0"/>
          <w:sz w:val="32"/>
          <w:szCs w:val="32"/>
        </w:rPr>
      </w:pPr>
    </w:p>
    <w:p w14:paraId="53ED19F8">
      <w:pPr>
        <w:widowControl/>
        <w:spacing w:line="500" w:lineRule="exact"/>
        <w:ind w:right="634" w:firstLine="600"/>
        <w:jc w:val="center"/>
        <w:rPr>
          <w:rFonts w:hint="eastAsia" w:ascii="仿宋_GB2312" w:hAnsi="宋体" w:eastAsia="仿宋_GB2312" w:cs="宋体"/>
          <w:color w:val="000000"/>
          <w:kern w:val="0"/>
          <w:sz w:val="32"/>
          <w:szCs w:val="32"/>
        </w:rPr>
      </w:pPr>
    </w:p>
    <w:p w14:paraId="3F89BB91">
      <w:pPr>
        <w:widowControl/>
        <w:spacing w:line="500" w:lineRule="exact"/>
        <w:ind w:right="634"/>
        <w:jc w:val="both"/>
        <w:rPr>
          <w:rFonts w:hint="eastAsia" w:ascii="仿宋_GB2312" w:hAnsi="宋体" w:eastAsia="仿宋_GB2312" w:cs="宋体"/>
          <w:color w:val="000000"/>
          <w:kern w:val="0"/>
          <w:sz w:val="32"/>
          <w:szCs w:val="32"/>
        </w:rPr>
      </w:pPr>
    </w:p>
    <w:p w14:paraId="42931AF7">
      <w:pPr>
        <w:widowControl/>
        <w:spacing w:line="500" w:lineRule="exact"/>
        <w:ind w:right="634" w:firstLine="600"/>
        <w:jc w:val="center"/>
        <w:rPr>
          <w:rFonts w:hint="eastAsia" w:ascii="仿宋_GB2312" w:hAnsi="宋体" w:eastAsia="仿宋_GB2312" w:cs="宋体"/>
          <w:color w:val="000000"/>
          <w:kern w:val="0"/>
          <w:sz w:val="32"/>
          <w:szCs w:val="32"/>
        </w:rPr>
      </w:pPr>
    </w:p>
    <w:p w14:paraId="4360499D">
      <w:pPr>
        <w:adjustRightInd w:val="0"/>
        <w:snapToGrid w:val="0"/>
        <w:rPr>
          <w:rFonts w:hint="eastAsia" w:ascii="黑体" w:hAnsi="黑体" w:eastAsia="黑体" w:cs="宋体"/>
          <w:kern w:val="0"/>
          <w:sz w:val="32"/>
          <w:szCs w:val="32"/>
        </w:rPr>
      </w:pPr>
      <w:r>
        <w:rPr>
          <w:rFonts w:hint="eastAsia" w:ascii="黑体" w:hAnsi="黑体" w:eastAsia="黑体" w:cs="宋体"/>
          <w:kern w:val="0"/>
          <w:sz w:val="32"/>
          <w:szCs w:val="32"/>
        </w:rPr>
        <w:t>附件</w:t>
      </w:r>
    </w:p>
    <w:p w14:paraId="76AFD59E">
      <w:pPr>
        <w:adjustRightInd w:val="0"/>
        <w:snapToGrid w:val="0"/>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按比例安排残疾人就业情况核定</w:t>
      </w:r>
    </w:p>
    <w:p w14:paraId="07BE61F4">
      <w:pPr>
        <w:adjustRightInd w:val="0"/>
        <w:snapToGrid w:val="0"/>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线下办理材料清单</w:t>
      </w:r>
    </w:p>
    <w:p w14:paraId="23046204">
      <w:pPr>
        <w:adjustRightInd w:val="0"/>
        <w:snapToGrid w:val="0"/>
        <w:spacing w:line="480" w:lineRule="exact"/>
        <w:jc w:val="center"/>
        <w:rPr>
          <w:rFonts w:hint="eastAsia" w:ascii="方正小标宋简体" w:hAnsi="宋体" w:eastAsia="方正小标宋简体" w:cs="宋体"/>
          <w:kern w:val="0"/>
          <w:sz w:val="44"/>
          <w:szCs w:val="44"/>
        </w:rPr>
      </w:pPr>
    </w:p>
    <w:tbl>
      <w:tblPr>
        <w:tblStyle w:val="4"/>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860"/>
      </w:tblGrid>
      <w:tr w14:paraId="58DE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6F5FA1B4">
            <w:pPr>
              <w:adjustRightInd w:val="0"/>
              <w:snapToGrid w:val="0"/>
              <w:jc w:val="center"/>
              <w:rPr>
                <w:rFonts w:hint="eastAsia" w:ascii="仿宋_GB2312" w:eastAsia="仿宋_GB2312"/>
                <w:sz w:val="28"/>
                <w:szCs w:val="28"/>
              </w:rPr>
            </w:pPr>
            <w:r>
              <w:rPr>
                <w:rFonts w:hint="eastAsia" w:ascii="仿宋_GB2312" w:eastAsia="仿宋_GB2312"/>
                <w:sz w:val="28"/>
                <w:szCs w:val="28"/>
              </w:rPr>
              <w:t>1</w:t>
            </w:r>
          </w:p>
        </w:tc>
        <w:tc>
          <w:tcPr>
            <w:tcW w:w="7860" w:type="dxa"/>
            <w:noWrap w:val="0"/>
            <w:vAlign w:val="center"/>
          </w:tcPr>
          <w:p w14:paraId="13AC61DA">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《湖南省按比例安排残疾人就业情况核定申报表》</w:t>
            </w:r>
          </w:p>
          <w:p w14:paraId="3D881475">
            <w:pPr>
              <w:adjustRightInd w:val="0"/>
              <w:snapToGrid w:val="0"/>
              <w:rPr>
                <w:rFonts w:hint="eastAsia" w:ascii="仿宋_GB2312" w:eastAsia="仿宋_GB2312"/>
                <w:sz w:val="28"/>
                <w:szCs w:val="28"/>
              </w:rPr>
            </w:pPr>
            <w:r>
              <w:rPr>
                <w:rFonts w:hint="eastAsia" w:ascii="仿宋_GB2312" w:hAnsi="宋体" w:eastAsia="仿宋_GB2312" w:cs="宋体"/>
                <w:kern w:val="0"/>
                <w:sz w:val="28"/>
                <w:szCs w:val="28"/>
              </w:rPr>
              <w:t>下载地址：</w:t>
            </w:r>
            <w:r>
              <w:rPr>
                <w:rFonts w:hint="eastAsia" w:ascii="仿宋_GB2312" w:eastAsia="仿宋_GB2312" w:cs="仿宋_GB2312"/>
                <w:sz w:val="32"/>
                <w:szCs w:val="32"/>
                <w:lang w:val="zh-CN"/>
              </w:rPr>
              <w:t>“湖南省残疾联合会官网” （</w:t>
            </w:r>
            <w:r>
              <w:rPr>
                <w:rFonts w:ascii="仿宋_GB2312" w:hAnsi="宋体" w:eastAsia="仿宋_GB2312" w:cs="宋体"/>
                <w:kern w:val="0"/>
                <w:sz w:val="32"/>
                <w:szCs w:val="32"/>
              </w:rPr>
              <w:t>https://www.hndpf.org/</w:t>
            </w:r>
            <w:r>
              <w:rPr>
                <w:rFonts w:hint="eastAsia" w:ascii="仿宋_GB2312" w:eastAsia="仿宋_GB2312" w:cs="仿宋_GB2312"/>
                <w:sz w:val="32"/>
                <w:szCs w:val="32"/>
                <w:lang w:val="zh-CN"/>
              </w:rPr>
              <w:t>）</w:t>
            </w:r>
            <w:r>
              <w:rPr>
                <w:rFonts w:hint="eastAsia" w:ascii="仿宋_GB2312" w:hAnsi="宋体" w:eastAsia="仿宋_GB2312" w:cs="宋体"/>
                <w:kern w:val="0"/>
                <w:sz w:val="28"/>
                <w:szCs w:val="28"/>
              </w:rPr>
              <w:t>的通知公告栏</w:t>
            </w:r>
          </w:p>
        </w:tc>
      </w:tr>
      <w:tr w14:paraId="2840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2DC476B2">
            <w:pPr>
              <w:adjustRightInd w:val="0"/>
              <w:snapToGrid w:val="0"/>
              <w:jc w:val="center"/>
              <w:rPr>
                <w:rFonts w:hint="eastAsia" w:ascii="仿宋_GB2312" w:eastAsia="仿宋_GB2312"/>
                <w:sz w:val="28"/>
                <w:szCs w:val="28"/>
              </w:rPr>
            </w:pPr>
            <w:r>
              <w:rPr>
                <w:rFonts w:hint="eastAsia" w:ascii="仿宋_GB2312" w:eastAsia="仿宋_GB2312"/>
                <w:sz w:val="28"/>
                <w:szCs w:val="28"/>
              </w:rPr>
              <w:t>2</w:t>
            </w:r>
          </w:p>
        </w:tc>
        <w:tc>
          <w:tcPr>
            <w:tcW w:w="7860" w:type="dxa"/>
            <w:noWrap w:val="0"/>
            <w:vAlign w:val="center"/>
          </w:tcPr>
          <w:p w14:paraId="72DF7488">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年度1月至12月残疾职工的工资凭证（公务员编或全额拨款事业编制的残疾职工，其工资凭证可以是加盖单位公章的残疾职工工资发放表，其余残疾人职工，需提供202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年全年的工资发放的银行流水凭证）</w:t>
            </w:r>
          </w:p>
        </w:tc>
      </w:tr>
      <w:tr w14:paraId="5374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7913B308">
            <w:pPr>
              <w:adjustRightInd w:val="0"/>
              <w:snapToGrid w:val="0"/>
              <w:jc w:val="center"/>
              <w:rPr>
                <w:rFonts w:hint="eastAsia" w:ascii="仿宋_GB2312" w:eastAsia="仿宋_GB2312"/>
                <w:sz w:val="28"/>
                <w:szCs w:val="28"/>
              </w:rPr>
            </w:pPr>
            <w:r>
              <w:rPr>
                <w:rFonts w:hint="eastAsia" w:ascii="仿宋_GB2312" w:eastAsia="仿宋_GB2312"/>
                <w:sz w:val="28"/>
                <w:szCs w:val="28"/>
              </w:rPr>
              <w:t>3</w:t>
            </w:r>
          </w:p>
        </w:tc>
        <w:tc>
          <w:tcPr>
            <w:tcW w:w="7860" w:type="dxa"/>
            <w:noWrap w:val="0"/>
            <w:vAlign w:val="center"/>
          </w:tcPr>
          <w:p w14:paraId="59B632B6">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已安排就业的残疾人证原件(第二代、第三代残疾人证)、残疾军人证原件（1至8级）</w:t>
            </w:r>
          </w:p>
          <w:p w14:paraId="2DAF1BF4">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用人单位安排1名持有《中华人民共和国残疾人证》（1至2级）或《中华人民共和国残疾军人证》（1至3级）的人员就业的，按照安排2名残疾人就业计算。</w:t>
            </w:r>
          </w:p>
        </w:tc>
      </w:tr>
      <w:tr w14:paraId="2478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0BBC68B7">
            <w:pPr>
              <w:adjustRightInd w:val="0"/>
              <w:snapToGrid w:val="0"/>
              <w:jc w:val="center"/>
              <w:rPr>
                <w:rFonts w:hint="eastAsia" w:ascii="仿宋_GB2312" w:eastAsia="仿宋_GB2312"/>
                <w:sz w:val="28"/>
                <w:szCs w:val="28"/>
              </w:rPr>
            </w:pPr>
            <w:r>
              <w:rPr>
                <w:rFonts w:hint="eastAsia" w:ascii="仿宋_GB2312" w:eastAsia="仿宋_GB2312"/>
                <w:sz w:val="28"/>
                <w:szCs w:val="28"/>
              </w:rPr>
              <w:t>4</w:t>
            </w:r>
          </w:p>
        </w:tc>
        <w:tc>
          <w:tcPr>
            <w:tcW w:w="7860" w:type="dxa"/>
            <w:noWrap w:val="0"/>
            <w:vAlign w:val="center"/>
          </w:tcPr>
          <w:p w14:paraId="30297C13">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已安排就业的残疾人一年以上劳动合同或服务协议，派遣单位同意残疾员工计入用工单位的书面说明。公务员单位和全额拨款事业单位的正式在编残疾职工提供有效的证明在编材料。</w:t>
            </w:r>
          </w:p>
          <w:p w14:paraId="79CC2F9D">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劳务派遣用工形式的残疾人不得重复计入用工单位和派遣单位。劳务派遣协议应约定派遣岗位、人员数量、派遣期限、劳动报酬和社会保险费等内容。上述内容不明确的，不予计入。</w:t>
            </w:r>
          </w:p>
        </w:tc>
      </w:tr>
      <w:tr w14:paraId="33E8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47C7B2A0">
            <w:pPr>
              <w:adjustRightInd w:val="0"/>
              <w:snapToGrid w:val="0"/>
              <w:jc w:val="center"/>
              <w:rPr>
                <w:rFonts w:hint="eastAsia" w:ascii="仿宋_GB2312" w:eastAsia="仿宋_GB2312"/>
                <w:sz w:val="28"/>
                <w:szCs w:val="28"/>
              </w:rPr>
            </w:pPr>
            <w:r>
              <w:rPr>
                <w:rFonts w:hint="eastAsia" w:ascii="仿宋_GB2312" w:eastAsia="仿宋_GB2312"/>
                <w:sz w:val="28"/>
                <w:szCs w:val="28"/>
              </w:rPr>
              <w:t>5</w:t>
            </w:r>
          </w:p>
        </w:tc>
        <w:tc>
          <w:tcPr>
            <w:tcW w:w="7860" w:type="dxa"/>
            <w:noWrap w:val="0"/>
            <w:vAlign w:val="center"/>
          </w:tcPr>
          <w:p w14:paraId="364EB769">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已安排就业的残疾人社会保险“参保证明”</w:t>
            </w:r>
          </w:p>
          <w:p w14:paraId="5A46988B">
            <w:pPr>
              <w:adjustRightInd w:val="0"/>
              <w:snapToGrid w:val="0"/>
              <w:rPr>
                <w:rFonts w:hint="eastAsia" w:ascii="仿宋_GB2312" w:hAnsi="宋体" w:eastAsia="仿宋_GB2312" w:cs="宋体"/>
                <w:b/>
                <w:color w:val="000000"/>
                <w:kern w:val="0"/>
                <w:sz w:val="28"/>
                <w:szCs w:val="28"/>
              </w:rPr>
            </w:pPr>
            <w:r>
              <w:rPr>
                <w:rFonts w:hint="eastAsia" w:ascii="仿宋_GB2312" w:hAnsi="宋体" w:eastAsia="仿宋_GB2312" w:cs="宋体"/>
                <w:b/>
                <w:kern w:val="0"/>
                <w:sz w:val="28"/>
                <w:szCs w:val="28"/>
              </w:rPr>
              <w:t>包括：</w:t>
            </w:r>
            <w:r>
              <w:rPr>
                <w:rFonts w:hint="eastAsia" w:ascii="仿宋_GB2312" w:hAnsi="宋体" w:eastAsia="仿宋_GB2312" w:cs="宋体"/>
                <w:b/>
                <w:color w:val="000000"/>
                <w:kern w:val="0"/>
                <w:sz w:val="28"/>
                <w:szCs w:val="28"/>
              </w:rPr>
              <w:t>职工医疗、职工养老保险、工伤保险、失业保险。证明材料必须有人社部门盖章。</w:t>
            </w:r>
          </w:p>
          <w:p w14:paraId="1CDD962B">
            <w:pPr>
              <w:adjustRightInd w:val="0"/>
              <w:snapToGrid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注：不含城乡居民基本养老保险、城乡居民基本医疗保险</w:t>
            </w:r>
          </w:p>
        </w:tc>
      </w:tr>
    </w:tbl>
    <w:p w14:paraId="6BF5F26C">
      <w:pPr>
        <w:adjustRightInd w:val="0"/>
        <w:snapToGrid w:val="0"/>
        <w:rPr>
          <w:rFonts w:hint="eastAsia" w:ascii="仿宋_GB2312" w:eastAsia="仿宋_GB2312"/>
          <w:sz w:val="30"/>
          <w:szCs w:val="30"/>
        </w:rPr>
      </w:pPr>
      <w:r>
        <w:rPr>
          <w:rFonts w:hint="eastAsia" w:ascii="仿宋_GB2312" w:eastAsia="仿宋_GB2312"/>
          <w:sz w:val="30"/>
          <w:szCs w:val="30"/>
        </w:rPr>
        <w:t>来沅陵县残疾人综合服务大厅线下办理的，需现场将上述1、2、4、5项资料进行扫描、上传至“全国残疾人按比例就业情况联网认证系统”，其复印件需留存备查。</w:t>
      </w:r>
    </w:p>
    <w:p w14:paraId="3A6691D6">
      <w:pPr>
        <w:widowControl/>
        <w:spacing w:line="500" w:lineRule="exact"/>
        <w:jc w:val="left"/>
        <w:rPr>
          <w:rFonts w:hint="eastAsia" w:ascii="仿宋_GB2312" w:eastAsia="仿宋_GB2312" w:cs="仿宋_GB2312"/>
          <w:sz w:val="32"/>
          <w:szCs w:val="32"/>
        </w:rPr>
      </w:pPr>
      <w:r>
        <w:rPr>
          <w:rFonts w:hint="eastAsia" w:ascii="仿宋_GB2312" w:eastAsia="仿宋_GB2312" w:cs="仿宋_GB2312"/>
          <w:sz w:val="32"/>
          <w:szCs w:val="32"/>
          <w:lang w:val="zh-CN"/>
        </w:rPr>
        <w:t>咨询电话：</w:t>
      </w:r>
      <w:r>
        <w:rPr>
          <w:rFonts w:hint="eastAsia" w:ascii="仿宋_GB2312" w:eastAsia="仿宋_GB2312" w:cs="仿宋_GB2312"/>
          <w:sz w:val="32"/>
          <w:szCs w:val="32"/>
        </w:rPr>
        <w:t>瞿继尧</w:t>
      </w:r>
      <w:r>
        <w:rPr>
          <w:rFonts w:hint="eastAsia" w:ascii="仿宋_GB2312" w:eastAsia="仿宋_GB2312" w:cs="仿宋_GB2312"/>
          <w:sz w:val="32"/>
          <w:szCs w:val="32"/>
          <w:lang w:val="zh-CN"/>
        </w:rPr>
        <w:t xml:space="preserve">  07</w:t>
      </w:r>
      <w:r>
        <w:rPr>
          <w:rFonts w:hint="eastAsia" w:ascii="仿宋_GB2312" w:eastAsia="仿宋_GB2312" w:cs="仿宋_GB2312"/>
          <w:sz w:val="32"/>
          <w:szCs w:val="32"/>
        </w:rPr>
        <w:t>45</w:t>
      </w:r>
      <w:r>
        <w:rPr>
          <w:rFonts w:hint="eastAsia" w:ascii="仿宋_GB2312" w:eastAsia="仿宋_GB2312" w:cs="仿宋_GB2312"/>
          <w:sz w:val="32"/>
          <w:szCs w:val="32"/>
          <w:lang w:val="zh-CN"/>
        </w:rPr>
        <w:t>-</w:t>
      </w:r>
      <w:r>
        <w:rPr>
          <w:rFonts w:hint="eastAsia" w:ascii="仿宋_GB2312" w:eastAsia="仿宋_GB2312" w:cs="仿宋_GB2312"/>
          <w:sz w:val="32"/>
          <w:szCs w:val="32"/>
        </w:rPr>
        <w:t xml:space="preserve">4322196    </w:t>
      </w:r>
      <w:r>
        <w:rPr>
          <w:rFonts w:hint="eastAsia" w:ascii="仿宋_GB2312" w:eastAsia="仿宋_GB2312" w:cs="仿宋_GB2312"/>
          <w:sz w:val="32"/>
          <w:szCs w:val="32"/>
          <w:lang w:val="en-US" w:eastAsia="zh-CN"/>
        </w:rPr>
        <w:t>13787568126</w:t>
      </w:r>
    </w:p>
    <w:p w14:paraId="319FE15A">
      <w:pPr>
        <w:adjustRightInd w:val="0"/>
        <w:snapToGrid w:val="0"/>
        <w:rPr>
          <w:rFonts w:hint="eastAsia"/>
        </w:rPr>
      </w:pPr>
    </w:p>
    <w:sectPr>
      <w:pgSz w:w="11906" w:h="16838"/>
      <w:pgMar w:top="1871" w:right="1588" w:bottom="1418" w:left="1588" w:header="851" w:footer="992" w:gutter="0"/>
      <w:cols w:space="720" w:num="1"/>
      <w:docGrid w:type="linesAndChars" w:linePitch="316"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1BB0"/>
    <w:multiLevelType w:val="singleLevel"/>
    <w:tmpl w:val="95E41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C5B0C"/>
    <w:rsid w:val="26E563DD"/>
    <w:rsid w:val="303C2CEA"/>
    <w:rsid w:val="33AC5B0C"/>
    <w:rsid w:val="45FC557C"/>
    <w:rsid w:val="4E906BD9"/>
    <w:rsid w:val="6406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2473</Characters>
  <Lines>0</Lines>
  <Paragraphs>0</Paragraphs>
  <TotalTime>12</TotalTime>
  <ScaleCrop>false</ScaleCrop>
  <LinksUpToDate>false</LinksUpToDate>
  <CharactersWithSpaces>2533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2025-02-24T06:48:00Z</dcterms:created>
  <dc:creator>。迷恋妳</dc:creator>
  <cp:lastModifiedBy>慧子</cp:lastModifiedBy>
  <cp:lastPrinted>2025-03-03T01:25:00Z</cp:lastPrinted>
  <dcterms:modified xsi:type="dcterms:W3CDTF">2025-03-03T07:49:51Z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27733C45222E42459B55A9D951BE684F_13</vt:lpwstr>
  </property>
  <property fmtid="{D5CDD505-2E9C-101B-9397-08002B2CF9AE}" pid="4" name="KSOTemplateDocerSaveRecord">
    <vt:lpwstr>eyJoZGlkIjoiMjJiMGU5Yzg3ZDU1MjRlOWM5Yzg5MTFmZGViMWNmMDciLCJ1c2VySWQiOiIzODQwOTU1MTgifQ==</vt:lpwstr>
  </property>
</Properties>
</file>