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AFC92">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rPr>
          <w:rFonts w:hint="eastAsia" w:ascii="仿宋" w:hAnsi="仿宋" w:eastAsia="仿宋" w:cs="仿宋"/>
          <w:b/>
          <w:bCs/>
          <w:color w:val="auto"/>
          <w:kern w:val="0"/>
          <w:sz w:val="44"/>
          <w:szCs w:val="44"/>
        </w:rPr>
      </w:pPr>
      <w:r>
        <w:rPr>
          <w:rFonts w:hint="eastAsia" w:ascii="仿宋" w:hAnsi="仿宋" w:eastAsia="仿宋" w:cs="仿宋"/>
          <w:b/>
          <w:bCs/>
          <w:color w:val="auto"/>
          <w:kern w:val="0"/>
          <w:sz w:val="44"/>
          <w:szCs w:val="44"/>
          <w:lang w:val="en-US" w:eastAsia="zh-CN"/>
        </w:rPr>
        <w:t>沅陵产业开发区</w:t>
      </w:r>
    </w:p>
    <w:p w14:paraId="39054A1D">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rPr>
          <w:rFonts w:hint="eastAsia" w:ascii="仿宋" w:hAnsi="仿宋" w:eastAsia="仿宋" w:cs="仿宋"/>
          <w:b/>
          <w:bCs/>
          <w:color w:val="auto"/>
          <w:kern w:val="0"/>
          <w:sz w:val="44"/>
          <w:szCs w:val="44"/>
        </w:rPr>
      </w:pPr>
      <w:r>
        <w:rPr>
          <w:rFonts w:hint="eastAsia" w:ascii="仿宋" w:hAnsi="仿宋" w:eastAsia="仿宋" w:cs="仿宋"/>
          <w:b/>
          <w:bCs/>
          <w:color w:val="auto"/>
          <w:kern w:val="0"/>
          <w:sz w:val="44"/>
          <w:szCs w:val="44"/>
        </w:rPr>
        <w:t>生态环境管理</w:t>
      </w:r>
      <w:r>
        <w:rPr>
          <w:rFonts w:hint="eastAsia" w:ascii="仿宋" w:hAnsi="仿宋" w:eastAsia="仿宋" w:cs="仿宋"/>
          <w:b/>
          <w:bCs/>
          <w:color w:val="auto"/>
          <w:kern w:val="0"/>
          <w:sz w:val="44"/>
          <w:szCs w:val="44"/>
          <w:lang w:val="en-US" w:eastAsia="zh-CN"/>
        </w:rPr>
        <w:t>2024</w:t>
      </w:r>
      <w:r>
        <w:rPr>
          <w:rFonts w:hint="eastAsia" w:ascii="仿宋" w:hAnsi="仿宋" w:eastAsia="仿宋" w:cs="仿宋"/>
          <w:b/>
          <w:bCs/>
          <w:color w:val="auto"/>
          <w:kern w:val="0"/>
          <w:sz w:val="44"/>
          <w:szCs w:val="44"/>
        </w:rPr>
        <w:t>年度</w:t>
      </w:r>
    </w:p>
    <w:p w14:paraId="5B5EDBB6">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rPr>
          <w:rFonts w:hint="eastAsia" w:ascii="仿宋" w:hAnsi="仿宋" w:eastAsia="仿宋" w:cs="仿宋"/>
          <w:b/>
          <w:bCs/>
          <w:color w:val="auto"/>
          <w:kern w:val="0"/>
          <w:sz w:val="48"/>
          <w:szCs w:val="48"/>
        </w:rPr>
      </w:pPr>
    </w:p>
    <w:p w14:paraId="6C7D1A73">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rPr>
          <w:rFonts w:hint="eastAsia" w:ascii="仿宋" w:hAnsi="仿宋" w:eastAsia="仿宋" w:cs="仿宋"/>
          <w:b/>
          <w:bCs/>
          <w:color w:val="auto"/>
          <w:kern w:val="0"/>
          <w:sz w:val="48"/>
          <w:szCs w:val="48"/>
        </w:rPr>
      </w:pPr>
    </w:p>
    <w:p w14:paraId="2C6E7B13">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rPr>
          <w:rFonts w:hint="eastAsia" w:ascii="仿宋" w:hAnsi="仿宋" w:eastAsia="仿宋" w:cs="仿宋"/>
          <w:b/>
          <w:bCs/>
          <w:color w:val="auto"/>
          <w:kern w:val="0"/>
          <w:sz w:val="52"/>
          <w:szCs w:val="52"/>
        </w:rPr>
      </w:pPr>
      <w:r>
        <w:rPr>
          <w:rFonts w:hint="eastAsia" w:ascii="仿宋" w:hAnsi="仿宋" w:eastAsia="仿宋" w:cs="仿宋"/>
          <w:b/>
          <w:bCs/>
          <w:color w:val="auto"/>
          <w:kern w:val="0"/>
          <w:sz w:val="52"/>
          <w:szCs w:val="52"/>
        </w:rPr>
        <w:t>自</w:t>
      </w:r>
    </w:p>
    <w:p w14:paraId="3DA05428">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rPr>
          <w:rFonts w:hint="eastAsia" w:ascii="仿宋" w:hAnsi="仿宋" w:eastAsia="仿宋" w:cs="仿宋"/>
          <w:b/>
          <w:bCs/>
          <w:color w:val="auto"/>
          <w:kern w:val="0"/>
          <w:sz w:val="52"/>
          <w:szCs w:val="52"/>
        </w:rPr>
      </w:pPr>
      <w:r>
        <w:rPr>
          <w:rFonts w:hint="eastAsia" w:ascii="仿宋" w:hAnsi="仿宋" w:eastAsia="仿宋" w:cs="仿宋"/>
          <w:b/>
          <w:bCs/>
          <w:color w:val="auto"/>
          <w:kern w:val="0"/>
          <w:sz w:val="52"/>
          <w:szCs w:val="52"/>
        </w:rPr>
        <w:t>评</w:t>
      </w:r>
    </w:p>
    <w:p w14:paraId="712C1E33">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rPr>
          <w:rFonts w:hint="eastAsia" w:ascii="仿宋" w:hAnsi="仿宋" w:eastAsia="仿宋" w:cs="仿宋"/>
          <w:b/>
          <w:bCs/>
          <w:color w:val="auto"/>
          <w:kern w:val="0"/>
          <w:sz w:val="52"/>
          <w:szCs w:val="52"/>
        </w:rPr>
      </w:pPr>
      <w:r>
        <w:rPr>
          <w:rFonts w:hint="eastAsia" w:ascii="仿宋" w:hAnsi="仿宋" w:eastAsia="仿宋" w:cs="仿宋"/>
          <w:b/>
          <w:bCs/>
          <w:color w:val="auto"/>
          <w:kern w:val="0"/>
          <w:sz w:val="52"/>
          <w:szCs w:val="52"/>
        </w:rPr>
        <w:t>估</w:t>
      </w:r>
    </w:p>
    <w:p w14:paraId="54FDA92B">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rPr>
          <w:rFonts w:hint="eastAsia" w:ascii="仿宋" w:hAnsi="仿宋" w:eastAsia="仿宋" w:cs="仿宋"/>
          <w:b/>
          <w:bCs/>
          <w:color w:val="auto"/>
          <w:kern w:val="0"/>
          <w:sz w:val="52"/>
          <w:szCs w:val="52"/>
        </w:rPr>
      </w:pPr>
      <w:r>
        <w:rPr>
          <w:rFonts w:hint="eastAsia" w:ascii="仿宋" w:hAnsi="仿宋" w:eastAsia="仿宋" w:cs="仿宋"/>
          <w:b/>
          <w:bCs/>
          <w:color w:val="auto"/>
          <w:kern w:val="0"/>
          <w:sz w:val="52"/>
          <w:szCs w:val="52"/>
        </w:rPr>
        <w:t>报</w:t>
      </w:r>
    </w:p>
    <w:p w14:paraId="139067BC">
      <w:pPr>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rPr>
          <w:rFonts w:hint="eastAsia" w:ascii="仿宋" w:hAnsi="仿宋" w:eastAsia="仿宋" w:cs="仿宋"/>
          <w:b/>
          <w:bCs/>
          <w:color w:val="auto"/>
          <w:kern w:val="0"/>
          <w:sz w:val="52"/>
          <w:szCs w:val="52"/>
        </w:rPr>
      </w:pPr>
      <w:r>
        <w:rPr>
          <w:rFonts w:hint="eastAsia" w:ascii="仿宋" w:hAnsi="仿宋" w:eastAsia="仿宋" w:cs="仿宋"/>
          <w:b/>
          <w:bCs/>
          <w:color w:val="auto"/>
          <w:kern w:val="0"/>
          <w:sz w:val="52"/>
          <w:szCs w:val="52"/>
        </w:rPr>
        <w:t>告</w:t>
      </w:r>
    </w:p>
    <w:p w14:paraId="1639B38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36"/>
          <w:szCs w:val="36"/>
        </w:rPr>
      </w:pPr>
    </w:p>
    <w:p w14:paraId="09A1E4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36"/>
          <w:szCs w:val="36"/>
        </w:rPr>
      </w:pPr>
    </w:p>
    <w:p w14:paraId="171664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rPr>
      </w:pPr>
    </w:p>
    <w:p w14:paraId="0A3772F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rPr>
      </w:pPr>
    </w:p>
    <w:p w14:paraId="05A6805E">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lang w:val="en-US" w:eastAsia="zh-CN"/>
        </w:rPr>
        <w:t>沅陵产业开发</w:t>
      </w:r>
      <w:r>
        <w:rPr>
          <w:rFonts w:hint="eastAsia" w:ascii="仿宋" w:hAnsi="仿宋" w:eastAsia="仿宋" w:cs="仿宋"/>
          <w:b/>
          <w:bCs/>
          <w:color w:val="auto"/>
          <w:kern w:val="0"/>
          <w:sz w:val="36"/>
          <w:szCs w:val="36"/>
        </w:rPr>
        <w:t>区管理委员会</w:t>
      </w:r>
    </w:p>
    <w:p w14:paraId="76E4A49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b/>
          <w:bCs/>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bCs/>
          <w:color w:val="auto"/>
          <w:kern w:val="0"/>
          <w:sz w:val="36"/>
          <w:szCs w:val="36"/>
          <w:lang w:val="en-US" w:eastAsia="zh-CN"/>
        </w:rPr>
        <w:t>2025</w:t>
      </w:r>
      <w:r>
        <w:rPr>
          <w:rFonts w:hint="eastAsia" w:ascii="仿宋" w:hAnsi="仿宋" w:eastAsia="仿宋" w:cs="仿宋"/>
          <w:b/>
          <w:bCs/>
          <w:color w:val="auto"/>
          <w:kern w:val="0"/>
          <w:sz w:val="36"/>
          <w:szCs w:val="36"/>
        </w:rPr>
        <w:t>年</w:t>
      </w:r>
      <w:r>
        <w:rPr>
          <w:rFonts w:hint="eastAsia" w:ascii="仿宋" w:hAnsi="仿宋" w:eastAsia="仿宋" w:cs="仿宋"/>
          <w:b/>
          <w:bCs/>
          <w:color w:val="auto"/>
          <w:kern w:val="0"/>
          <w:sz w:val="36"/>
          <w:szCs w:val="36"/>
          <w:lang w:val="en-US" w:eastAsia="zh-CN"/>
        </w:rPr>
        <w:t>2</w:t>
      </w:r>
      <w:r>
        <w:rPr>
          <w:rFonts w:hint="eastAsia" w:ascii="仿宋" w:hAnsi="仿宋" w:eastAsia="仿宋" w:cs="仿宋"/>
          <w:b/>
          <w:bCs/>
          <w:color w:val="auto"/>
          <w:kern w:val="0"/>
          <w:sz w:val="36"/>
          <w:szCs w:val="36"/>
        </w:rPr>
        <w:t>月</w:t>
      </w:r>
    </w:p>
    <w:sdt>
      <w:sdtPr>
        <w:rPr>
          <w:rFonts w:ascii="宋体" w:hAnsi="宋体" w:eastAsia="宋体" w:cstheme="minorBidi"/>
          <w:b/>
          <w:bCs/>
          <w:kern w:val="2"/>
          <w:sz w:val="32"/>
          <w:szCs w:val="32"/>
          <w:lang w:val="en-US" w:eastAsia="zh-CN" w:bidi="ar-SA"/>
        </w:rPr>
        <w:id w:val="147456194"/>
        <w15:color w:val="DBDBDB"/>
        <w:docPartObj>
          <w:docPartGallery w:val="Table of Contents"/>
          <w:docPartUnique/>
        </w:docPartObj>
      </w:sdtPr>
      <w:sdtEndPr>
        <w:rPr>
          <w:rFonts w:hint="eastAsia" w:ascii="宋体" w:hAnsi="Courier New" w:eastAsia="宋体" w:cstheme="minorBidi"/>
          <w:b/>
          <w:bCs/>
          <w:color w:val="000000"/>
          <w:kern w:val="0"/>
          <w:sz w:val="24"/>
          <w:szCs w:val="24"/>
          <w:lang w:val="en-US" w:eastAsia="zh-CN" w:bidi="ar-SA"/>
        </w:rPr>
      </w:sdtEndPr>
      <w:sdtContent>
        <w:p w14:paraId="62A0A278">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14:paraId="633A2B9A">
          <w:pPr>
            <w:pStyle w:val="21"/>
            <w:tabs>
              <w:tab w:val="right" w:leader="dot" w:pos="8306"/>
            </w:tabs>
            <w:rPr>
              <w:b/>
              <w:sz w:val="28"/>
              <w:szCs w:val="28"/>
            </w:rPr>
          </w:pPr>
          <w:r>
            <w:rPr>
              <w:rFonts w:hint="eastAsia"/>
              <w:sz w:val="28"/>
              <w:szCs w:val="28"/>
            </w:rPr>
            <w:fldChar w:fldCharType="begin"/>
          </w:r>
          <w:r>
            <w:rPr>
              <w:rFonts w:hint="eastAsia"/>
              <w:sz w:val="28"/>
              <w:szCs w:val="28"/>
            </w:rPr>
            <w:instrText xml:space="preserve">TOC \o "1-2" \h \u </w:instrText>
          </w:r>
          <w:r>
            <w:rPr>
              <w:rFonts w:hint="eastAsia"/>
              <w:sz w:val="28"/>
              <w:szCs w:val="28"/>
            </w:rPr>
            <w:fldChar w:fldCharType="separate"/>
          </w:r>
          <w:r>
            <w:rPr>
              <w:rFonts w:hint="eastAsia"/>
              <w:b/>
              <w:sz w:val="28"/>
              <w:szCs w:val="28"/>
            </w:rPr>
            <w:fldChar w:fldCharType="begin"/>
          </w:r>
          <w:r>
            <w:rPr>
              <w:rFonts w:hint="eastAsia"/>
              <w:b/>
              <w:sz w:val="28"/>
              <w:szCs w:val="28"/>
            </w:rPr>
            <w:instrText xml:space="preserve"> HYPERLINK \l _Toc5624 </w:instrText>
          </w:r>
          <w:r>
            <w:rPr>
              <w:rFonts w:hint="eastAsia"/>
              <w:b/>
              <w:sz w:val="28"/>
              <w:szCs w:val="28"/>
            </w:rPr>
            <w:fldChar w:fldCharType="separate"/>
          </w:r>
          <w:r>
            <w:rPr>
              <w:rFonts w:hint="eastAsia"/>
              <w:b/>
              <w:bCs/>
              <w:sz w:val="28"/>
              <w:szCs w:val="28"/>
            </w:rPr>
            <w:t>一、园区概况</w:t>
          </w:r>
          <w:r>
            <w:rPr>
              <w:b/>
              <w:sz w:val="28"/>
              <w:szCs w:val="28"/>
            </w:rPr>
            <w:tab/>
          </w:r>
          <w:r>
            <w:rPr>
              <w:b/>
              <w:sz w:val="28"/>
              <w:szCs w:val="28"/>
            </w:rPr>
            <w:fldChar w:fldCharType="begin"/>
          </w:r>
          <w:r>
            <w:rPr>
              <w:b/>
              <w:sz w:val="28"/>
              <w:szCs w:val="28"/>
            </w:rPr>
            <w:instrText xml:space="preserve"> PAGEREF _Toc5624 \h </w:instrText>
          </w:r>
          <w:r>
            <w:rPr>
              <w:b/>
              <w:sz w:val="28"/>
              <w:szCs w:val="28"/>
            </w:rPr>
            <w:fldChar w:fldCharType="separate"/>
          </w:r>
          <w:r>
            <w:rPr>
              <w:b/>
              <w:sz w:val="28"/>
              <w:szCs w:val="28"/>
            </w:rPr>
            <w:t>1</w:t>
          </w:r>
          <w:r>
            <w:rPr>
              <w:b/>
              <w:sz w:val="28"/>
              <w:szCs w:val="28"/>
            </w:rPr>
            <w:fldChar w:fldCharType="end"/>
          </w:r>
          <w:r>
            <w:rPr>
              <w:rFonts w:hint="eastAsia"/>
              <w:b/>
              <w:sz w:val="28"/>
              <w:szCs w:val="28"/>
            </w:rPr>
            <w:fldChar w:fldCharType="end"/>
          </w:r>
        </w:p>
        <w:p w14:paraId="3A37B7A6">
          <w:pPr>
            <w:pStyle w:val="21"/>
            <w:tabs>
              <w:tab w:val="right" w:leader="dot" w:pos="8306"/>
            </w:tabs>
            <w:rPr>
              <w:b/>
              <w:sz w:val="28"/>
              <w:szCs w:val="28"/>
            </w:rPr>
          </w:pPr>
          <w:r>
            <w:rPr>
              <w:rFonts w:hint="eastAsia"/>
              <w:b/>
              <w:sz w:val="28"/>
              <w:szCs w:val="28"/>
            </w:rPr>
            <w:fldChar w:fldCharType="begin"/>
          </w:r>
          <w:r>
            <w:rPr>
              <w:rFonts w:hint="eastAsia"/>
              <w:b/>
              <w:sz w:val="28"/>
              <w:szCs w:val="28"/>
            </w:rPr>
            <w:instrText xml:space="preserve"> HYPERLINK \l _Toc12448 </w:instrText>
          </w:r>
          <w:r>
            <w:rPr>
              <w:rFonts w:hint="eastAsia"/>
              <w:b/>
              <w:sz w:val="28"/>
              <w:szCs w:val="28"/>
            </w:rPr>
            <w:fldChar w:fldCharType="separate"/>
          </w:r>
          <w:r>
            <w:rPr>
              <w:rFonts w:hint="default"/>
              <w:b/>
              <w:bCs/>
              <w:sz w:val="28"/>
              <w:szCs w:val="28"/>
              <w:highlight w:val="none"/>
              <w:lang w:val="en-US" w:eastAsia="zh-CN"/>
            </w:rPr>
            <w:t>二、环境管理情况</w:t>
          </w:r>
          <w:r>
            <w:rPr>
              <w:b/>
              <w:sz w:val="28"/>
              <w:szCs w:val="28"/>
            </w:rPr>
            <w:tab/>
          </w:r>
          <w:r>
            <w:rPr>
              <w:b/>
              <w:sz w:val="28"/>
              <w:szCs w:val="28"/>
            </w:rPr>
            <w:fldChar w:fldCharType="begin"/>
          </w:r>
          <w:r>
            <w:rPr>
              <w:b/>
              <w:sz w:val="28"/>
              <w:szCs w:val="28"/>
            </w:rPr>
            <w:instrText xml:space="preserve"> PAGEREF _Toc12448 \h </w:instrText>
          </w:r>
          <w:r>
            <w:rPr>
              <w:b/>
              <w:sz w:val="28"/>
              <w:szCs w:val="28"/>
            </w:rPr>
            <w:fldChar w:fldCharType="separate"/>
          </w:r>
          <w:r>
            <w:rPr>
              <w:b/>
              <w:sz w:val="28"/>
              <w:szCs w:val="28"/>
            </w:rPr>
            <w:t>2</w:t>
          </w:r>
          <w:r>
            <w:rPr>
              <w:b/>
              <w:sz w:val="28"/>
              <w:szCs w:val="28"/>
            </w:rPr>
            <w:fldChar w:fldCharType="end"/>
          </w:r>
          <w:r>
            <w:rPr>
              <w:rFonts w:hint="eastAsia"/>
              <w:b/>
              <w:sz w:val="28"/>
              <w:szCs w:val="28"/>
            </w:rPr>
            <w:fldChar w:fldCharType="end"/>
          </w:r>
        </w:p>
        <w:p w14:paraId="22F8849D">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_Toc6418 </w:instrText>
          </w:r>
          <w:r>
            <w:rPr>
              <w:rFonts w:hint="eastAsia"/>
              <w:sz w:val="28"/>
              <w:szCs w:val="28"/>
            </w:rPr>
            <w:fldChar w:fldCharType="separate"/>
          </w:r>
          <w:r>
            <w:rPr>
              <w:rFonts w:hint="default"/>
              <w:bCs/>
              <w:sz w:val="28"/>
              <w:szCs w:val="28"/>
              <w:highlight w:val="none"/>
              <w:lang w:val="en-US" w:eastAsia="zh-CN"/>
            </w:rPr>
            <w:t>（一）规划环评批复要求落实情况</w:t>
          </w:r>
          <w:r>
            <w:rPr>
              <w:sz w:val="28"/>
              <w:szCs w:val="28"/>
            </w:rPr>
            <w:tab/>
          </w:r>
          <w:r>
            <w:rPr>
              <w:sz w:val="28"/>
              <w:szCs w:val="28"/>
            </w:rPr>
            <w:fldChar w:fldCharType="begin"/>
          </w:r>
          <w:r>
            <w:rPr>
              <w:sz w:val="28"/>
              <w:szCs w:val="28"/>
            </w:rPr>
            <w:instrText xml:space="preserve"> PAGEREF _Toc6418 \h </w:instrText>
          </w:r>
          <w:r>
            <w:rPr>
              <w:sz w:val="28"/>
              <w:szCs w:val="28"/>
            </w:rPr>
            <w:fldChar w:fldCharType="separate"/>
          </w:r>
          <w:r>
            <w:rPr>
              <w:sz w:val="28"/>
              <w:szCs w:val="28"/>
            </w:rPr>
            <w:t>2</w:t>
          </w:r>
          <w:r>
            <w:rPr>
              <w:sz w:val="28"/>
              <w:szCs w:val="28"/>
            </w:rPr>
            <w:fldChar w:fldCharType="end"/>
          </w:r>
          <w:r>
            <w:rPr>
              <w:rFonts w:hint="eastAsia"/>
              <w:sz w:val="28"/>
              <w:szCs w:val="28"/>
            </w:rPr>
            <w:fldChar w:fldCharType="end"/>
          </w:r>
        </w:p>
        <w:p w14:paraId="412756E2">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_Toc4782 </w:instrText>
          </w:r>
          <w:r>
            <w:rPr>
              <w:rFonts w:hint="eastAsia"/>
              <w:sz w:val="28"/>
              <w:szCs w:val="28"/>
            </w:rPr>
            <w:fldChar w:fldCharType="separate"/>
          </w:r>
          <w:r>
            <w:rPr>
              <w:rFonts w:hint="eastAsia"/>
              <w:bCs/>
              <w:sz w:val="28"/>
              <w:szCs w:val="28"/>
              <w:lang w:val="en-US" w:eastAsia="zh-CN"/>
            </w:rPr>
            <w:t>（二）“</w:t>
          </w:r>
          <w:r>
            <w:rPr>
              <w:rFonts w:hint="default"/>
              <w:bCs/>
              <w:sz w:val="28"/>
              <w:szCs w:val="28"/>
              <w:lang w:val="en-US" w:eastAsia="zh-CN"/>
            </w:rPr>
            <w:t>三线一单</w:t>
          </w:r>
          <w:r>
            <w:rPr>
              <w:rFonts w:hint="eastAsia"/>
              <w:bCs/>
              <w:sz w:val="28"/>
              <w:szCs w:val="28"/>
              <w:lang w:val="en-US" w:eastAsia="zh-CN"/>
            </w:rPr>
            <w:t>”</w:t>
          </w:r>
          <w:r>
            <w:rPr>
              <w:rFonts w:hint="default"/>
              <w:bCs/>
              <w:sz w:val="28"/>
              <w:szCs w:val="28"/>
              <w:lang w:val="en-US" w:eastAsia="zh-CN"/>
            </w:rPr>
            <w:t>落地应用情况</w:t>
          </w:r>
          <w:r>
            <w:rPr>
              <w:sz w:val="28"/>
              <w:szCs w:val="28"/>
            </w:rPr>
            <w:tab/>
          </w:r>
          <w:r>
            <w:rPr>
              <w:sz w:val="28"/>
              <w:szCs w:val="28"/>
            </w:rPr>
            <w:fldChar w:fldCharType="begin"/>
          </w:r>
          <w:r>
            <w:rPr>
              <w:sz w:val="28"/>
              <w:szCs w:val="28"/>
            </w:rPr>
            <w:instrText xml:space="preserve"> PAGEREF _Toc4782 \h </w:instrText>
          </w:r>
          <w:r>
            <w:rPr>
              <w:sz w:val="28"/>
              <w:szCs w:val="28"/>
            </w:rPr>
            <w:fldChar w:fldCharType="separate"/>
          </w:r>
          <w:r>
            <w:rPr>
              <w:sz w:val="28"/>
              <w:szCs w:val="28"/>
            </w:rPr>
            <w:t>7</w:t>
          </w:r>
          <w:r>
            <w:rPr>
              <w:sz w:val="28"/>
              <w:szCs w:val="28"/>
            </w:rPr>
            <w:fldChar w:fldCharType="end"/>
          </w:r>
          <w:r>
            <w:rPr>
              <w:rFonts w:hint="eastAsia"/>
              <w:sz w:val="28"/>
              <w:szCs w:val="28"/>
            </w:rPr>
            <w:fldChar w:fldCharType="end"/>
          </w:r>
        </w:p>
        <w:p w14:paraId="51D9F0CF">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_Toc14445 </w:instrText>
          </w:r>
          <w:r>
            <w:rPr>
              <w:rFonts w:hint="eastAsia"/>
              <w:sz w:val="28"/>
              <w:szCs w:val="28"/>
            </w:rPr>
            <w:fldChar w:fldCharType="separate"/>
          </w:r>
          <w:r>
            <w:rPr>
              <w:rFonts w:hint="default"/>
              <w:bCs/>
              <w:sz w:val="28"/>
              <w:szCs w:val="28"/>
              <w:lang w:val="en-US" w:eastAsia="zh-CN"/>
            </w:rPr>
            <w:t>（三）水环境管理</w:t>
          </w:r>
          <w:r>
            <w:rPr>
              <w:sz w:val="28"/>
              <w:szCs w:val="28"/>
            </w:rPr>
            <w:tab/>
          </w:r>
          <w:r>
            <w:rPr>
              <w:sz w:val="28"/>
              <w:szCs w:val="28"/>
            </w:rPr>
            <w:fldChar w:fldCharType="begin"/>
          </w:r>
          <w:r>
            <w:rPr>
              <w:sz w:val="28"/>
              <w:szCs w:val="28"/>
            </w:rPr>
            <w:instrText xml:space="preserve"> PAGEREF _Toc14445 \h </w:instrText>
          </w:r>
          <w:r>
            <w:rPr>
              <w:sz w:val="28"/>
              <w:szCs w:val="28"/>
            </w:rPr>
            <w:fldChar w:fldCharType="separate"/>
          </w:r>
          <w:r>
            <w:rPr>
              <w:sz w:val="28"/>
              <w:szCs w:val="28"/>
            </w:rPr>
            <w:t>11</w:t>
          </w:r>
          <w:r>
            <w:rPr>
              <w:sz w:val="28"/>
              <w:szCs w:val="28"/>
            </w:rPr>
            <w:fldChar w:fldCharType="end"/>
          </w:r>
          <w:r>
            <w:rPr>
              <w:rFonts w:hint="eastAsia"/>
              <w:sz w:val="28"/>
              <w:szCs w:val="28"/>
            </w:rPr>
            <w:fldChar w:fldCharType="end"/>
          </w:r>
        </w:p>
        <w:p w14:paraId="017F879D">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_Toc19750 </w:instrText>
          </w:r>
          <w:r>
            <w:rPr>
              <w:rFonts w:hint="eastAsia"/>
              <w:sz w:val="28"/>
              <w:szCs w:val="28"/>
            </w:rPr>
            <w:fldChar w:fldCharType="separate"/>
          </w:r>
          <w:r>
            <w:rPr>
              <w:rFonts w:hint="default"/>
              <w:bCs/>
              <w:sz w:val="28"/>
              <w:szCs w:val="28"/>
              <w:lang w:val="en-US" w:eastAsia="zh-CN"/>
            </w:rPr>
            <w:t>（四）大气环境管理</w:t>
          </w:r>
          <w:r>
            <w:rPr>
              <w:sz w:val="28"/>
              <w:szCs w:val="28"/>
            </w:rPr>
            <w:tab/>
          </w:r>
          <w:r>
            <w:rPr>
              <w:sz w:val="28"/>
              <w:szCs w:val="28"/>
            </w:rPr>
            <w:fldChar w:fldCharType="begin"/>
          </w:r>
          <w:r>
            <w:rPr>
              <w:sz w:val="28"/>
              <w:szCs w:val="28"/>
            </w:rPr>
            <w:instrText xml:space="preserve"> PAGEREF _Toc19750 \h </w:instrText>
          </w:r>
          <w:r>
            <w:rPr>
              <w:sz w:val="28"/>
              <w:szCs w:val="28"/>
            </w:rPr>
            <w:fldChar w:fldCharType="separate"/>
          </w:r>
          <w:r>
            <w:rPr>
              <w:sz w:val="28"/>
              <w:szCs w:val="28"/>
            </w:rPr>
            <w:t>13</w:t>
          </w:r>
          <w:r>
            <w:rPr>
              <w:sz w:val="28"/>
              <w:szCs w:val="28"/>
            </w:rPr>
            <w:fldChar w:fldCharType="end"/>
          </w:r>
          <w:r>
            <w:rPr>
              <w:rFonts w:hint="eastAsia"/>
              <w:sz w:val="28"/>
              <w:szCs w:val="28"/>
            </w:rPr>
            <w:fldChar w:fldCharType="end"/>
          </w:r>
        </w:p>
        <w:p w14:paraId="34530030">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_Toc1036 </w:instrText>
          </w:r>
          <w:r>
            <w:rPr>
              <w:rFonts w:hint="eastAsia"/>
              <w:sz w:val="28"/>
              <w:szCs w:val="28"/>
            </w:rPr>
            <w:fldChar w:fldCharType="separate"/>
          </w:r>
          <w:r>
            <w:rPr>
              <w:rFonts w:hint="default"/>
              <w:bCs/>
              <w:sz w:val="28"/>
              <w:szCs w:val="28"/>
              <w:lang w:val="en-US" w:eastAsia="zh-CN"/>
            </w:rPr>
            <w:t>（五）土壤环境管理</w:t>
          </w:r>
          <w:r>
            <w:rPr>
              <w:sz w:val="28"/>
              <w:szCs w:val="28"/>
            </w:rPr>
            <w:tab/>
          </w:r>
          <w:r>
            <w:rPr>
              <w:sz w:val="28"/>
              <w:szCs w:val="28"/>
            </w:rPr>
            <w:fldChar w:fldCharType="begin"/>
          </w:r>
          <w:r>
            <w:rPr>
              <w:sz w:val="28"/>
              <w:szCs w:val="28"/>
            </w:rPr>
            <w:instrText xml:space="preserve"> PAGEREF _Toc1036 \h </w:instrText>
          </w:r>
          <w:r>
            <w:rPr>
              <w:sz w:val="28"/>
              <w:szCs w:val="28"/>
            </w:rPr>
            <w:fldChar w:fldCharType="separate"/>
          </w:r>
          <w:r>
            <w:rPr>
              <w:sz w:val="28"/>
              <w:szCs w:val="28"/>
            </w:rPr>
            <w:t>13</w:t>
          </w:r>
          <w:r>
            <w:rPr>
              <w:sz w:val="28"/>
              <w:szCs w:val="28"/>
            </w:rPr>
            <w:fldChar w:fldCharType="end"/>
          </w:r>
          <w:r>
            <w:rPr>
              <w:rFonts w:hint="eastAsia"/>
              <w:sz w:val="28"/>
              <w:szCs w:val="28"/>
            </w:rPr>
            <w:fldChar w:fldCharType="end"/>
          </w:r>
        </w:p>
        <w:p w14:paraId="57E771A1">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_Toc11096 </w:instrText>
          </w:r>
          <w:r>
            <w:rPr>
              <w:rFonts w:hint="eastAsia"/>
              <w:sz w:val="28"/>
              <w:szCs w:val="28"/>
            </w:rPr>
            <w:fldChar w:fldCharType="separate"/>
          </w:r>
          <w:r>
            <w:rPr>
              <w:rFonts w:hint="default"/>
              <w:bCs/>
              <w:sz w:val="28"/>
              <w:szCs w:val="28"/>
              <w:highlight w:val="none"/>
              <w:lang w:val="en-US" w:eastAsia="zh-CN"/>
            </w:rPr>
            <w:t>（六）固体废物管理</w:t>
          </w:r>
          <w:r>
            <w:rPr>
              <w:sz w:val="28"/>
              <w:szCs w:val="28"/>
            </w:rPr>
            <w:tab/>
          </w:r>
          <w:r>
            <w:rPr>
              <w:sz w:val="28"/>
              <w:szCs w:val="28"/>
            </w:rPr>
            <w:fldChar w:fldCharType="begin"/>
          </w:r>
          <w:r>
            <w:rPr>
              <w:sz w:val="28"/>
              <w:szCs w:val="28"/>
            </w:rPr>
            <w:instrText xml:space="preserve"> PAGEREF _Toc11096 \h </w:instrText>
          </w:r>
          <w:r>
            <w:rPr>
              <w:sz w:val="28"/>
              <w:szCs w:val="28"/>
            </w:rPr>
            <w:fldChar w:fldCharType="separate"/>
          </w:r>
          <w:r>
            <w:rPr>
              <w:sz w:val="28"/>
              <w:szCs w:val="28"/>
            </w:rPr>
            <w:t>14</w:t>
          </w:r>
          <w:r>
            <w:rPr>
              <w:sz w:val="28"/>
              <w:szCs w:val="28"/>
            </w:rPr>
            <w:fldChar w:fldCharType="end"/>
          </w:r>
          <w:r>
            <w:rPr>
              <w:rFonts w:hint="eastAsia"/>
              <w:sz w:val="28"/>
              <w:szCs w:val="28"/>
            </w:rPr>
            <w:fldChar w:fldCharType="end"/>
          </w:r>
        </w:p>
        <w:p w14:paraId="0B2017A9">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_Toc4078 </w:instrText>
          </w:r>
          <w:r>
            <w:rPr>
              <w:rFonts w:hint="eastAsia"/>
              <w:sz w:val="28"/>
              <w:szCs w:val="28"/>
            </w:rPr>
            <w:fldChar w:fldCharType="separate"/>
          </w:r>
          <w:r>
            <w:rPr>
              <w:rFonts w:hint="default"/>
              <w:bCs/>
              <w:sz w:val="28"/>
              <w:szCs w:val="28"/>
              <w:lang w:val="en-US" w:eastAsia="zh-CN"/>
            </w:rPr>
            <w:t>（七）投诉管理</w:t>
          </w:r>
          <w:r>
            <w:rPr>
              <w:sz w:val="28"/>
              <w:szCs w:val="28"/>
            </w:rPr>
            <w:tab/>
          </w:r>
          <w:r>
            <w:rPr>
              <w:sz w:val="28"/>
              <w:szCs w:val="28"/>
            </w:rPr>
            <w:fldChar w:fldCharType="begin"/>
          </w:r>
          <w:r>
            <w:rPr>
              <w:sz w:val="28"/>
              <w:szCs w:val="28"/>
            </w:rPr>
            <w:instrText xml:space="preserve"> PAGEREF _Toc4078 \h </w:instrText>
          </w:r>
          <w:r>
            <w:rPr>
              <w:sz w:val="28"/>
              <w:szCs w:val="28"/>
            </w:rPr>
            <w:fldChar w:fldCharType="separate"/>
          </w:r>
          <w:r>
            <w:rPr>
              <w:sz w:val="28"/>
              <w:szCs w:val="28"/>
            </w:rPr>
            <w:t>14</w:t>
          </w:r>
          <w:r>
            <w:rPr>
              <w:sz w:val="28"/>
              <w:szCs w:val="28"/>
            </w:rPr>
            <w:fldChar w:fldCharType="end"/>
          </w:r>
          <w:r>
            <w:rPr>
              <w:rFonts w:hint="eastAsia"/>
              <w:sz w:val="28"/>
              <w:szCs w:val="28"/>
            </w:rPr>
            <w:fldChar w:fldCharType="end"/>
          </w:r>
        </w:p>
        <w:p w14:paraId="63B5A469">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_Toc22382 </w:instrText>
          </w:r>
          <w:r>
            <w:rPr>
              <w:rFonts w:hint="eastAsia"/>
              <w:sz w:val="28"/>
              <w:szCs w:val="28"/>
            </w:rPr>
            <w:fldChar w:fldCharType="separate"/>
          </w:r>
          <w:r>
            <w:rPr>
              <w:rFonts w:hint="default"/>
              <w:bCs/>
              <w:sz w:val="28"/>
              <w:szCs w:val="28"/>
              <w:lang w:val="en-US" w:eastAsia="zh-CN"/>
            </w:rPr>
            <w:t>（八）园区信用评价</w:t>
          </w:r>
          <w:r>
            <w:rPr>
              <w:sz w:val="28"/>
              <w:szCs w:val="28"/>
            </w:rPr>
            <w:tab/>
          </w:r>
          <w:r>
            <w:rPr>
              <w:sz w:val="28"/>
              <w:szCs w:val="28"/>
            </w:rPr>
            <w:fldChar w:fldCharType="begin"/>
          </w:r>
          <w:r>
            <w:rPr>
              <w:sz w:val="28"/>
              <w:szCs w:val="28"/>
            </w:rPr>
            <w:instrText xml:space="preserve"> PAGEREF _Toc22382 \h </w:instrText>
          </w:r>
          <w:r>
            <w:rPr>
              <w:sz w:val="28"/>
              <w:szCs w:val="28"/>
            </w:rPr>
            <w:fldChar w:fldCharType="separate"/>
          </w:r>
          <w:r>
            <w:rPr>
              <w:sz w:val="28"/>
              <w:szCs w:val="28"/>
            </w:rPr>
            <w:t>14</w:t>
          </w:r>
          <w:r>
            <w:rPr>
              <w:sz w:val="28"/>
              <w:szCs w:val="28"/>
            </w:rPr>
            <w:fldChar w:fldCharType="end"/>
          </w:r>
          <w:r>
            <w:rPr>
              <w:rFonts w:hint="eastAsia"/>
              <w:sz w:val="28"/>
              <w:szCs w:val="28"/>
            </w:rPr>
            <w:fldChar w:fldCharType="end"/>
          </w:r>
        </w:p>
        <w:p w14:paraId="3265F5AE">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_Toc21267 </w:instrText>
          </w:r>
          <w:r>
            <w:rPr>
              <w:rFonts w:hint="eastAsia"/>
              <w:sz w:val="28"/>
              <w:szCs w:val="28"/>
            </w:rPr>
            <w:fldChar w:fldCharType="separate"/>
          </w:r>
          <w:r>
            <w:rPr>
              <w:rFonts w:hint="default"/>
              <w:bCs/>
              <w:sz w:val="28"/>
              <w:szCs w:val="28"/>
              <w:lang w:val="en-US" w:eastAsia="zh-CN"/>
            </w:rPr>
            <w:t>（九）环境风险管理</w:t>
          </w:r>
          <w:r>
            <w:rPr>
              <w:sz w:val="28"/>
              <w:szCs w:val="28"/>
            </w:rPr>
            <w:tab/>
          </w:r>
          <w:r>
            <w:rPr>
              <w:sz w:val="28"/>
              <w:szCs w:val="28"/>
            </w:rPr>
            <w:fldChar w:fldCharType="begin"/>
          </w:r>
          <w:r>
            <w:rPr>
              <w:sz w:val="28"/>
              <w:szCs w:val="28"/>
            </w:rPr>
            <w:instrText xml:space="preserve"> PAGEREF _Toc21267 \h </w:instrText>
          </w:r>
          <w:r>
            <w:rPr>
              <w:sz w:val="28"/>
              <w:szCs w:val="28"/>
            </w:rPr>
            <w:fldChar w:fldCharType="separate"/>
          </w:r>
          <w:r>
            <w:rPr>
              <w:sz w:val="28"/>
              <w:szCs w:val="28"/>
            </w:rPr>
            <w:t>21</w:t>
          </w:r>
          <w:r>
            <w:rPr>
              <w:sz w:val="28"/>
              <w:szCs w:val="28"/>
            </w:rPr>
            <w:fldChar w:fldCharType="end"/>
          </w:r>
          <w:r>
            <w:rPr>
              <w:rFonts w:hint="eastAsia"/>
              <w:sz w:val="28"/>
              <w:szCs w:val="28"/>
            </w:rPr>
            <w:fldChar w:fldCharType="end"/>
          </w:r>
        </w:p>
        <w:p w14:paraId="7D348C59">
          <w:pPr>
            <w:pStyle w:val="21"/>
            <w:tabs>
              <w:tab w:val="right" w:leader="dot" w:pos="8306"/>
            </w:tabs>
            <w:rPr>
              <w:b/>
              <w:sz w:val="28"/>
              <w:szCs w:val="28"/>
            </w:rPr>
          </w:pPr>
          <w:r>
            <w:rPr>
              <w:rFonts w:hint="eastAsia"/>
              <w:b/>
              <w:sz w:val="28"/>
              <w:szCs w:val="28"/>
            </w:rPr>
            <w:fldChar w:fldCharType="begin"/>
          </w:r>
          <w:r>
            <w:rPr>
              <w:rFonts w:hint="eastAsia"/>
              <w:b/>
              <w:sz w:val="28"/>
              <w:szCs w:val="28"/>
            </w:rPr>
            <w:instrText xml:space="preserve"> HYPERLINK \l _Toc5093 </w:instrText>
          </w:r>
          <w:r>
            <w:rPr>
              <w:rFonts w:hint="eastAsia"/>
              <w:b/>
              <w:sz w:val="28"/>
              <w:szCs w:val="28"/>
            </w:rPr>
            <w:fldChar w:fldCharType="separate"/>
          </w:r>
          <w:r>
            <w:rPr>
              <w:rFonts w:hint="default"/>
              <w:b/>
              <w:bCs/>
              <w:sz w:val="28"/>
              <w:szCs w:val="28"/>
              <w:lang w:val="en-US" w:eastAsia="zh-CN"/>
            </w:rPr>
            <w:t>三、园区环保工作成效、主要措施做法</w:t>
          </w:r>
          <w:r>
            <w:rPr>
              <w:b/>
              <w:sz w:val="28"/>
              <w:szCs w:val="28"/>
            </w:rPr>
            <w:tab/>
          </w:r>
          <w:r>
            <w:rPr>
              <w:b/>
              <w:sz w:val="28"/>
              <w:szCs w:val="28"/>
            </w:rPr>
            <w:fldChar w:fldCharType="begin"/>
          </w:r>
          <w:r>
            <w:rPr>
              <w:b/>
              <w:sz w:val="28"/>
              <w:szCs w:val="28"/>
            </w:rPr>
            <w:instrText xml:space="preserve"> PAGEREF _Toc5093 \h </w:instrText>
          </w:r>
          <w:r>
            <w:rPr>
              <w:b/>
              <w:sz w:val="28"/>
              <w:szCs w:val="28"/>
            </w:rPr>
            <w:fldChar w:fldCharType="separate"/>
          </w:r>
          <w:r>
            <w:rPr>
              <w:b/>
              <w:sz w:val="28"/>
              <w:szCs w:val="28"/>
            </w:rPr>
            <w:t>21</w:t>
          </w:r>
          <w:r>
            <w:rPr>
              <w:b/>
              <w:sz w:val="28"/>
              <w:szCs w:val="28"/>
            </w:rPr>
            <w:fldChar w:fldCharType="end"/>
          </w:r>
          <w:r>
            <w:rPr>
              <w:rFonts w:hint="eastAsia"/>
              <w:b/>
              <w:sz w:val="28"/>
              <w:szCs w:val="28"/>
            </w:rPr>
            <w:fldChar w:fldCharType="end"/>
          </w:r>
        </w:p>
        <w:p w14:paraId="5463D4C2">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_Toc30620 </w:instrText>
          </w:r>
          <w:r>
            <w:rPr>
              <w:rFonts w:hint="eastAsia"/>
              <w:sz w:val="28"/>
              <w:szCs w:val="28"/>
            </w:rPr>
            <w:fldChar w:fldCharType="separate"/>
          </w:r>
          <w:r>
            <w:rPr>
              <w:rFonts w:hint="eastAsia"/>
              <w:bCs/>
              <w:sz w:val="28"/>
              <w:szCs w:val="28"/>
              <w:lang w:val="en-US" w:eastAsia="zh-CN"/>
            </w:rPr>
            <w:t>（一）</w:t>
          </w:r>
          <w:r>
            <w:rPr>
              <w:rFonts w:hint="default"/>
              <w:bCs/>
              <w:sz w:val="28"/>
              <w:szCs w:val="28"/>
              <w:lang w:val="en-US" w:eastAsia="zh-CN"/>
            </w:rPr>
            <w:t>规范环境准入</w:t>
          </w:r>
          <w:r>
            <w:rPr>
              <w:sz w:val="28"/>
              <w:szCs w:val="28"/>
            </w:rPr>
            <w:tab/>
          </w:r>
          <w:r>
            <w:rPr>
              <w:sz w:val="28"/>
              <w:szCs w:val="28"/>
            </w:rPr>
            <w:fldChar w:fldCharType="begin"/>
          </w:r>
          <w:r>
            <w:rPr>
              <w:sz w:val="28"/>
              <w:szCs w:val="28"/>
            </w:rPr>
            <w:instrText xml:space="preserve"> PAGEREF _Toc30620 \h </w:instrText>
          </w:r>
          <w:r>
            <w:rPr>
              <w:sz w:val="28"/>
              <w:szCs w:val="28"/>
            </w:rPr>
            <w:fldChar w:fldCharType="separate"/>
          </w:r>
          <w:r>
            <w:rPr>
              <w:sz w:val="28"/>
              <w:szCs w:val="28"/>
            </w:rPr>
            <w:t>21</w:t>
          </w:r>
          <w:r>
            <w:rPr>
              <w:sz w:val="28"/>
              <w:szCs w:val="28"/>
            </w:rPr>
            <w:fldChar w:fldCharType="end"/>
          </w:r>
          <w:r>
            <w:rPr>
              <w:rFonts w:hint="eastAsia"/>
              <w:sz w:val="28"/>
              <w:szCs w:val="28"/>
            </w:rPr>
            <w:fldChar w:fldCharType="end"/>
          </w:r>
        </w:p>
        <w:p w14:paraId="675E02AA">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_Toc21925 </w:instrText>
          </w:r>
          <w:r>
            <w:rPr>
              <w:rFonts w:hint="eastAsia"/>
              <w:sz w:val="28"/>
              <w:szCs w:val="28"/>
            </w:rPr>
            <w:fldChar w:fldCharType="separate"/>
          </w:r>
          <w:r>
            <w:rPr>
              <w:rFonts w:hint="eastAsia"/>
              <w:bCs/>
              <w:sz w:val="28"/>
              <w:szCs w:val="28"/>
              <w:lang w:val="en-US" w:eastAsia="zh-CN"/>
            </w:rPr>
            <w:t>（二）</w:t>
          </w:r>
          <w:r>
            <w:rPr>
              <w:rFonts w:hint="default"/>
              <w:bCs/>
              <w:sz w:val="28"/>
              <w:szCs w:val="28"/>
              <w:lang w:val="en-US" w:eastAsia="zh-CN"/>
            </w:rPr>
            <w:t>推进突出问题整改</w:t>
          </w:r>
          <w:r>
            <w:rPr>
              <w:sz w:val="28"/>
              <w:szCs w:val="28"/>
            </w:rPr>
            <w:tab/>
          </w:r>
          <w:r>
            <w:rPr>
              <w:sz w:val="28"/>
              <w:szCs w:val="28"/>
            </w:rPr>
            <w:fldChar w:fldCharType="begin"/>
          </w:r>
          <w:r>
            <w:rPr>
              <w:sz w:val="28"/>
              <w:szCs w:val="28"/>
            </w:rPr>
            <w:instrText xml:space="preserve"> PAGEREF _Toc21925 \h </w:instrText>
          </w:r>
          <w:r>
            <w:rPr>
              <w:sz w:val="28"/>
              <w:szCs w:val="28"/>
            </w:rPr>
            <w:fldChar w:fldCharType="separate"/>
          </w:r>
          <w:r>
            <w:rPr>
              <w:sz w:val="28"/>
              <w:szCs w:val="28"/>
            </w:rPr>
            <w:t>22</w:t>
          </w:r>
          <w:r>
            <w:rPr>
              <w:sz w:val="28"/>
              <w:szCs w:val="28"/>
            </w:rPr>
            <w:fldChar w:fldCharType="end"/>
          </w:r>
          <w:r>
            <w:rPr>
              <w:rFonts w:hint="eastAsia"/>
              <w:sz w:val="28"/>
              <w:szCs w:val="28"/>
            </w:rPr>
            <w:fldChar w:fldCharType="end"/>
          </w:r>
        </w:p>
        <w:p w14:paraId="2A70BD6B">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_Toc27886 </w:instrText>
          </w:r>
          <w:r>
            <w:rPr>
              <w:rFonts w:hint="eastAsia"/>
              <w:sz w:val="28"/>
              <w:szCs w:val="28"/>
            </w:rPr>
            <w:fldChar w:fldCharType="separate"/>
          </w:r>
          <w:r>
            <w:rPr>
              <w:rFonts w:hint="eastAsia"/>
              <w:bCs/>
              <w:sz w:val="28"/>
              <w:szCs w:val="28"/>
              <w:lang w:val="en-US" w:eastAsia="zh-CN"/>
            </w:rPr>
            <w:t>（三）</w:t>
          </w:r>
          <w:r>
            <w:rPr>
              <w:rFonts w:hint="default"/>
              <w:bCs/>
              <w:sz w:val="28"/>
              <w:szCs w:val="28"/>
              <w:lang w:val="en-US" w:eastAsia="zh-CN"/>
            </w:rPr>
            <w:t>强化环境污染第三方治理</w:t>
          </w:r>
          <w:r>
            <w:rPr>
              <w:sz w:val="28"/>
              <w:szCs w:val="28"/>
            </w:rPr>
            <w:tab/>
          </w:r>
          <w:r>
            <w:rPr>
              <w:sz w:val="28"/>
              <w:szCs w:val="28"/>
            </w:rPr>
            <w:fldChar w:fldCharType="begin"/>
          </w:r>
          <w:r>
            <w:rPr>
              <w:sz w:val="28"/>
              <w:szCs w:val="28"/>
            </w:rPr>
            <w:instrText xml:space="preserve"> PAGEREF _Toc27886 \h </w:instrText>
          </w:r>
          <w:r>
            <w:rPr>
              <w:sz w:val="28"/>
              <w:szCs w:val="28"/>
            </w:rPr>
            <w:fldChar w:fldCharType="separate"/>
          </w:r>
          <w:r>
            <w:rPr>
              <w:sz w:val="28"/>
              <w:szCs w:val="28"/>
            </w:rPr>
            <w:t>23</w:t>
          </w:r>
          <w:r>
            <w:rPr>
              <w:sz w:val="28"/>
              <w:szCs w:val="28"/>
            </w:rPr>
            <w:fldChar w:fldCharType="end"/>
          </w:r>
          <w:r>
            <w:rPr>
              <w:rFonts w:hint="eastAsia"/>
              <w:sz w:val="28"/>
              <w:szCs w:val="28"/>
            </w:rPr>
            <w:fldChar w:fldCharType="end"/>
          </w:r>
        </w:p>
        <w:p w14:paraId="71F87074">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_Toc27669 </w:instrText>
          </w:r>
          <w:r>
            <w:rPr>
              <w:rFonts w:hint="eastAsia"/>
              <w:sz w:val="28"/>
              <w:szCs w:val="28"/>
            </w:rPr>
            <w:fldChar w:fldCharType="separate"/>
          </w:r>
          <w:r>
            <w:rPr>
              <w:rFonts w:hint="eastAsia"/>
              <w:bCs/>
              <w:sz w:val="28"/>
              <w:szCs w:val="28"/>
              <w:lang w:val="en-US" w:eastAsia="zh-CN"/>
            </w:rPr>
            <w:t>（四）</w:t>
          </w:r>
          <w:r>
            <w:rPr>
              <w:rFonts w:hint="default"/>
              <w:bCs/>
              <w:sz w:val="28"/>
              <w:szCs w:val="28"/>
              <w:lang w:val="en-US" w:eastAsia="zh-CN"/>
            </w:rPr>
            <w:t>健全环境风险防控机制</w:t>
          </w:r>
          <w:r>
            <w:rPr>
              <w:sz w:val="28"/>
              <w:szCs w:val="28"/>
            </w:rPr>
            <w:tab/>
          </w:r>
          <w:r>
            <w:rPr>
              <w:sz w:val="28"/>
              <w:szCs w:val="28"/>
            </w:rPr>
            <w:fldChar w:fldCharType="begin"/>
          </w:r>
          <w:r>
            <w:rPr>
              <w:sz w:val="28"/>
              <w:szCs w:val="28"/>
            </w:rPr>
            <w:instrText xml:space="preserve"> PAGEREF _Toc27669 \h </w:instrText>
          </w:r>
          <w:r>
            <w:rPr>
              <w:sz w:val="28"/>
              <w:szCs w:val="28"/>
            </w:rPr>
            <w:fldChar w:fldCharType="separate"/>
          </w:r>
          <w:r>
            <w:rPr>
              <w:sz w:val="28"/>
              <w:szCs w:val="28"/>
            </w:rPr>
            <w:t>24</w:t>
          </w:r>
          <w:r>
            <w:rPr>
              <w:sz w:val="28"/>
              <w:szCs w:val="28"/>
            </w:rPr>
            <w:fldChar w:fldCharType="end"/>
          </w:r>
          <w:r>
            <w:rPr>
              <w:rFonts w:hint="eastAsia"/>
              <w:sz w:val="28"/>
              <w:szCs w:val="28"/>
            </w:rPr>
            <w:fldChar w:fldCharType="end"/>
          </w:r>
        </w:p>
        <w:p w14:paraId="3BF4C0EC">
          <w:pPr>
            <w:pStyle w:val="21"/>
            <w:tabs>
              <w:tab w:val="right" w:leader="dot" w:pos="8306"/>
            </w:tabs>
            <w:rPr>
              <w:b/>
              <w:sz w:val="28"/>
              <w:szCs w:val="28"/>
            </w:rPr>
          </w:pPr>
          <w:r>
            <w:rPr>
              <w:rFonts w:hint="eastAsia"/>
              <w:b/>
              <w:sz w:val="28"/>
              <w:szCs w:val="28"/>
            </w:rPr>
            <w:fldChar w:fldCharType="begin"/>
          </w:r>
          <w:r>
            <w:rPr>
              <w:rFonts w:hint="eastAsia"/>
              <w:b/>
              <w:sz w:val="28"/>
              <w:szCs w:val="28"/>
            </w:rPr>
            <w:instrText xml:space="preserve"> HYPERLINK \l _Toc21514 </w:instrText>
          </w:r>
          <w:r>
            <w:rPr>
              <w:rFonts w:hint="eastAsia"/>
              <w:b/>
              <w:sz w:val="28"/>
              <w:szCs w:val="28"/>
            </w:rPr>
            <w:fldChar w:fldCharType="separate"/>
          </w:r>
          <w:r>
            <w:rPr>
              <w:rFonts w:hint="default"/>
              <w:b/>
              <w:bCs/>
              <w:sz w:val="28"/>
              <w:szCs w:val="28"/>
              <w:lang w:val="en-US" w:eastAsia="zh-CN"/>
            </w:rPr>
            <w:t>四、园区生态环境管理存在主要问题和难题</w:t>
          </w:r>
          <w:r>
            <w:rPr>
              <w:b/>
              <w:sz w:val="28"/>
              <w:szCs w:val="28"/>
            </w:rPr>
            <w:tab/>
          </w:r>
          <w:r>
            <w:rPr>
              <w:b/>
              <w:sz w:val="28"/>
              <w:szCs w:val="28"/>
            </w:rPr>
            <w:fldChar w:fldCharType="begin"/>
          </w:r>
          <w:r>
            <w:rPr>
              <w:b/>
              <w:sz w:val="28"/>
              <w:szCs w:val="28"/>
            </w:rPr>
            <w:instrText xml:space="preserve"> PAGEREF _Toc21514 \h </w:instrText>
          </w:r>
          <w:r>
            <w:rPr>
              <w:b/>
              <w:sz w:val="28"/>
              <w:szCs w:val="28"/>
            </w:rPr>
            <w:fldChar w:fldCharType="separate"/>
          </w:r>
          <w:r>
            <w:rPr>
              <w:b/>
              <w:sz w:val="28"/>
              <w:szCs w:val="28"/>
            </w:rPr>
            <w:t>25</w:t>
          </w:r>
          <w:r>
            <w:rPr>
              <w:b/>
              <w:sz w:val="28"/>
              <w:szCs w:val="28"/>
            </w:rPr>
            <w:fldChar w:fldCharType="end"/>
          </w:r>
          <w:r>
            <w:rPr>
              <w:rFonts w:hint="eastAsia"/>
              <w:b/>
              <w:sz w:val="28"/>
              <w:szCs w:val="28"/>
            </w:rPr>
            <w:fldChar w:fldCharType="end"/>
          </w:r>
        </w:p>
        <w:p w14:paraId="6913A8B9">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_Toc3744 </w:instrText>
          </w:r>
          <w:r>
            <w:rPr>
              <w:rFonts w:hint="eastAsia"/>
              <w:sz w:val="28"/>
              <w:szCs w:val="28"/>
            </w:rPr>
            <w:fldChar w:fldCharType="separate"/>
          </w:r>
          <w:r>
            <w:rPr>
              <w:rFonts w:hint="eastAsia"/>
              <w:bCs/>
              <w:sz w:val="28"/>
              <w:szCs w:val="28"/>
              <w:lang w:val="en-US" w:eastAsia="zh-CN"/>
            </w:rPr>
            <w:t>（一）</w:t>
          </w:r>
          <w:r>
            <w:rPr>
              <w:rFonts w:hint="default"/>
              <w:bCs/>
              <w:sz w:val="28"/>
              <w:szCs w:val="28"/>
              <w:lang w:val="en-US" w:eastAsia="zh-CN"/>
            </w:rPr>
            <w:t>企业环保管理不规范</w:t>
          </w:r>
          <w:r>
            <w:rPr>
              <w:sz w:val="28"/>
              <w:szCs w:val="28"/>
            </w:rPr>
            <w:tab/>
          </w:r>
          <w:r>
            <w:rPr>
              <w:sz w:val="28"/>
              <w:szCs w:val="28"/>
            </w:rPr>
            <w:fldChar w:fldCharType="begin"/>
          </w:r>
          <w:r>
            <w:rPr>
              <w:sz w:val="28"/>
              <w:szCs w:val="28"/>
            </w:rPr>
            <w:instrText xml:space="preserve"> PAGEREF _Toc3744 \h </w:instrText>
          </w:r>
          <w:r>
            <w:rPr>
              <w:sz w:val="28"/>
              <w:szCs w:val="28"/>
            </w:rPr>
            <w:fldChar w:fldCharType="separate"/>
          </w:r>
          <w:r>
            <w:rPr>
              <w:sz w:val="28"/>
              <w:szCs w:val="28"/>
            </w:rPr>
            <w:t>25</w:t>
          </w:r>
          <w:r>
            <w:rPr>
              <w:sz w:val="28"/>
              <w:szCs w:val="28"/>
            </w:rPr>
            <w:fldChar w:fldCharType="end"/>
          </w:r>
          <w:r>
            <w:rPr>
              <w:rFonts w:hint="eastAsia"/>
              <w:sz w:val="28"/>
              <w:szCs w:val="28"/>
            </w:rPr>
            <w:fldChar w:fldCharType="end"/>
          </w:r>
        </w:p>
        <w:p w14:paraId="7D73280B">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_Toc24432 </w:instrText>
          </w:r>
          <w:r>
            <w:rPr>
              <w:rFonts w:hint="eastAsia"/>
              <w:sz w:val="28"/>
              <w:szCs w:val="28"/>
            </w:rPr>
            <w:fldChar w:fldCharType="separate"/>
          </w:r>
          <w:r>
            <w:rPr>
              <w:rFonts w:hint="eastAsia"/>
              <w:bCs/>
              <w:sz w:val="28"/>
              <w:szCs w:val="28"/>
              <w:lang w:val="en-US" w:eastAsia="zh-CN"/>
            </w:rPr>
            <w:t>（二）</w:t>
          </w:r>
          <w:r>
            <w:rPr>
              <w:rFonts w:hint="default"/>
              <w:bCs/>
              <w:sz w:val="28"/>
              <w:szCs w:val="28"/>
              <w:lang w:val="en-US" w:eastAsia="zh-CN"/>
            </w:rPr>
            <w:t>企业自行监测不到位</w:t>
          </w:r>
          <w:r>
            <w:rPr>
              <w:sz w:val="28"/>
              <w:szCs w:val="28"/>
            </w:rPr>
            <w:tab/>
          </w:r>
          <w:r>
            <w:rPr>
              <w:sz w:val="28"/>
              <w:szCs w:val="28"/>
            </w:rPr>
            <w:fldChar w:fldCharType="begin"/>
          </w:r>
          <w:r>
            <w:rPr>
              <w:sz w:val="28"/>
              <w:szCs w:val="28"/>
            </w:rPr>
            <w:instrText xml:space="preserve"> PAGEREF _Toc24432 \h </w:instrText>
          </w:r>
          <w:r>
            <w:rPr>
              <w:sz w:val="28"/>
              <w:szCs w:val="28"/>
            </w:rPr>
            <w:fldChar w:fldCharType="separate"/>
          </w:r>
          <w:r>
            <w:rPr>
              <w:sz w:val="28"/>
              <w:szCs w:val="28"/>
            </w:rPr>
            <w:t>25</w:t>
          </w:r>
          <w:r>
            <w:rPr>
              <w:sz w:val="28"/>
              <w:szCs w:val="28"/>
            </w:rPr>
            <w:fldChar w:fldCharType="end"/>
          </w:r>
          <w:r>
            <w:rPr>
              <w:rFonts w:hint="eastAsia"/>
              <w:sz w:val="28"/>
              <w:szCs w:val="28"/>
            </w:rPr>
            <w:fldChar w:fldCharType="end"/>
          </w:r>
        </w:p>
        <w:p w14:paraId="5AFD40D0">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_Toc9087 </w:instrText>
          </w:r>
          <w:r>
            <w:rPr>
              <w:rFonts w:hint="eastAsia"/>
              <w:sz w:val="28"/>
              <w:szCs w:val="28"/>
            </w:rPr>
            <w:fldChar w:fldCharType="separate"/>
          </w:r>
          <w:r>
            <w:rPr>
              <w:rFonts w:hint="eastAsia"/>
              <w:bCs/>
              <w:sz w:val="28"/>
              <w:szCs w:val="28"/>
              <w:lang w:val="en-US" w:eastAsia="zh-CN"/>
            </w:rPr>
            <w:t>（三）</w:t>
          </w:r>
          <w:r>
            <w:rPr>
              <w:rFonts w:hint="default"/>
              <w:bCs/>
              <w:sz w:val="28"/>
              <w:szCs w:val="28"/>
              <w:lang w:val="en-US" w:eastAsia="zh-CN"/>
            </w:rPr>
            <w:t>园区调区扩区工作滞后</w:t>
          </w:r>
          <w:r>
            <w:rPr>
              <w:sz w:val="28"/>
              <w:szCs w:val="28"/>
            </w:rPr>
            <w:tab/>
          </w:r>
          <w:r>
            <w:rPr>
              <w:sz w:val="28"/>
              <w:szCs w:val="28"/>
            </w:rPr>
            <w:fldChar w:fldCharType="begin"/>
          </w:r>
          <w:r>
            <w:rPr>
              <w:sz w:val="28"/>
              <w:szCs w:val="28"/>
            </w:rPr>
            <w:instrText xml:space="preserve"> PAGEREF _Toc9087 \h </w:instrText>
          </w:r>
          <w:r>
            <w:rPr>
              <w:sz w:val="28"/>
              <w:szCs w:val="28"/>
            </w:rPr>
            <w:fldChar w:fldCharType="separate"/>
          </w:r>
          <w:r>
            <w:rPr>
              <w:sz w:val="28"/>
              <w:szCs w:val="28"/>
            </w:rPr>
            <w:t>25</w:t>
          </w:r>
          <w:r>
            <w:rPr>
              <w:sz w:val="28"/>
              <w:szCs w:val="28"/>
            </w:rPr>
            <w:fldChar w:fldCharType="end"/>
          </w:r>
          <w:r>
            <w:rPr>
              <w:rFonts w:hint="eastAsia"/>
              <w:sz w:val="28"/>
              <w:szCs w:val="28"/>
            </w:rPr>
            <w:fldChar w:fldCharType="end"/>
          </w:r>
        </w:p>
        <w:p w14:paraId="7E856A5E">
          <w:pPr>
            <w:pStyle w:val="21"/>
            <w:tabs>
              <w:tab w:val="right" w:leader="dot" w:pos="8306"/>
            </w:tabs>
            <w:rPr>
              <w:b/>
              <w:sz w:val="28"/>
              <w:szCs w:val="28"/>
            </w:rPr>
          </w:pPr>
          <w:r>
            <w:rPr>
              <w:rFonts w:hint="eastAsia"/>
              <w:b/>
              <w:sz w:val="28"/>
              <w:szCs w:val="28"/>
            </w:rPr>
            <w:fldChar w:fldCharType="begin"/>
          </w:r>
          <w:r>
            <w:rPr>
              <w:rFonts w:hint="eastAsia"/>
              <w:b/>
              <w:sz w:val="28"/>
              <w:szCs w:val="28"/>
            </w:rPr>
            <w:instrText xml:space="preserve"> HYPERLINK \l _Toc19268 </w:instrText>
          </w:r>
          <w:r>
            <w:rPr>
              <w:rFonts w:hint="eastAsia"/>
              <w:b/>
              <w:sz w:val="28"/>
              <w:szCs w:val="28"/>
            </w:rPr>
            <w:fldChar w:fldCharType="separate"/>
          </w:r>
          <w:r>
            <w:rPr>
              <w:rFonts w:hint="default"/>
              <w:b/>
              <w:bCs/>
              <w:sz w:val="28"/>
              <w:szCs w:val="28"/>
              <w:lang w:val="en-US" w:eastAsia="zh-CN"/>
            </w:rPr>
            <w:t>五、下一步工作计划</w:t>
          </w:r>
          <w:r>
            <w:rPr>
              <w:b/>
              <w:sz w:val="28"/>
              <w:szCs w:val="28"/>
            </w:rPr>
            <w:tab/>
          </w:r>
          <w:r>
            <w:rPr>
              <w:b/>
              <w:sz w:val="28"/>
              <w:szCs w:val="28"/>
            </w:rPr>
            <w:fldChar w:fldCharType="begin"/>
          </w:r>
          <w:r>
            <w:rPr>
              <w:b/>
              <w:sz w:val="28"/>
              <w:szCs w:val="28"/>
            </w:rPr>
            <w:instrText xml:space="preserve"> PAGEREF _Toc19268 \h </w:instrText>
          </w:r>
          <w:r>
            <w:rPr>
              <w:b/>
              <w:sz w:val="28"/>
              <w:szCs w:val="28"/>
            </w:rPr>
            <w:fldChar w:fldCharType="separate"/>
          </w:r>
          <w:r>
            <w:rPr>
              <w:b/>
              <w:sz w:val="28"/>
              <w:szCs w:val="28"/>
            </w:rPr>
            <w:t>25</w:t>
          </w:r>
          <w:r>
            <w:rPr>
              <w:b/>
              <w:sz w:val="28"/>
              <w:szCs w:val="28"/>
            </w:rPr>
            <w:fldChar w:fldCharType="end"/>
          </w:r>
          <w:r>
            <w:rPr>
              <w:rFonts w:hint="eastAsia"/>
              <w:b/>
              <w:sz w:val="28"/>
              <w:szCs w:val="28"/>
            </w:rPr>
            <w:fldChar w:fldCharType="end"/>
          </w:r>
        </w:p>
        <w:p w14:paraId="5D4B49CB">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_Toc29132 </w:instrText>
          </w:r>
          <w:r>
            <w:rPr>
              <w:rFonts w:hint="eastAsia"/>
              <w:sz w:val="28"/>
              <w:szCs w:val="28"/>
            </w:rPr>
            <w:fldChar w:fldCharType="separate"/>
          </w:r>
          <w:r>
            <w:rPr>
              <w:rFonts w:hint="eastAsia"/>
              <w:bCs/>
              <w:sz w:val="28"/>
              <w:szCs w:val="28"/>
              <w:lang w:val="en-US" w:eastAsia="zh-CN"/>
            </w:rPr>
            <w:t>（一）</w:t>
          </w:r>
          <w:r>
            <w:rPr>
              <w:rFonts w:hint="default"/>
              <w:bCs/>
              <w:sz w:val="28"/>
              <w:szCs w:val="28"/>
              <w:lang w:val="en-US" w:eastAsia="zh-CN"/>
            </w:rPr>
            <w:t>持续开展常态化环境隐患排查</w:t>
          </w:r>
          <w:r>
            <w:rPr>
              <w:sz w:val="28"/>
              <w:szCs w:val="28"/>
            </w:rPr>
            <w:tab/>
          </w:r>
          <w:r>
            <w:rPr>
              <w:sz w:val="28"/>
              <w:szCs w:val="28"/>
            </w:rPr>
            <w:fldChar w:fldCharType="begin"/>
          </w:r>
          <w:r>
            <w:rPr>
              <w:sz w:val="28"/>
              <w:szCs w:val="28"/>
            </w:rPr>
            <w:instrText xml:space="preserve"> PAGEREF _Toc29132 \h </w:instrText>
          </w:r>
          <w:r>
            <w:rPr>
              <w:sz w:val="28"/>
              <w:szCs w:val="28"/>
            </w:rPr>
            <w:fldChar w:fldCharType="separate"/>
          </w:r>
          <w:r>
            <w:rPr>
              <w:sz w:val="28"/>
              <w:szCs w:val="28"/>
            </w:rPr>
            <w:t>26</w:t>
          </w:r>
          <w:r>
            <w:rPr>
              <w:sz w:val="28"/>
              <w:szCs w:val="28"/>
            </w:rPr>
            <w:fldChar w:fldCharType="end"/>
          </w:r>
          <w:r>
            <w:rPr>
              <w:rFonts w:hint="eastAsia"/>
              <w:sz w:val="28"/>
              <w:szCs w:val="28"/>
            </w:rPr>
            <w:fldChar w:fldCharType="end"/>
          </w:r>
        </w:p>
        <w:p w14:paraId="2F6921BD">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_Toc30619 </w:instrText>
          </w:r>
          <w:r>
            <w:rPr>
              <w:rFonts w:hint="eastAsia"/>
              <w:sz w:val="28"/>
              <w:szCs w:val="28"/>
            </w:rPr>
            <w:fldChar w:fldCharType="separate"/>
          </w:r>
          <w:r>
            <w:rPr>
              <w:rFonts w:hint="eastAsia"/>
              <w:bCs/>
              <w:sz w:val="28"/>
              <w:szCs w:val="28"/>
              <w:lang w:val="en-US" w:eastAsia="zh-CN"/>
            </w:rPr>
            <w:t>（二）</w:t>
          </w:r>
          <w:r>
            <w:rPr>
              <w:rFonts w:hint="default"/>
              <w:bCs/>
              <w:sz w:val="28"/>
              <w:szCs w:val="28"/>
              <w:lang w:val="en-US" w:eastAsia="zh-CN"/>
            </w:rPr>
            <w:t>巩固环境污染第三方治理</w:t>
          </w:r>
          <w:r>
            <w:rPr>
              <w:sz w:val="28"/>
              <w:szCs w:val="28"/>
            </w:rPr>
            <w:tab/>
          </w:r>
          <w:r>
            <w:rPr>
              <w:sz w:val="28"/>
              <w:szCs w:val="28"/>
            </w:rPr>
            <w:fldChar w:fldCharType="begin"/>
          </w:r>
          <w:r>
            <w:rPr>
              <w:sz w:val="28"/>
              <w:szCs w:val="28"/>
            </w:rPr>
            <w:instrText xml:space="preserve"> PAGEREF _Toc30619 \h </w:instrText>
          </w:r>
          <w:r>
            <w:rPr>
              <w:sz w:val="28"/>
              <w:szCs w:val="28"/>
            </w:rPr>
            <w:fldChar w:fldCharType="separate"/>
          </w:r>
          <w:r>
            <w:rPr>
              <w:sz w:val="28"/>
              <w:szCs w:val="28"/>
            </w:rPr>
            <w:t>26</w:t>
          </w:r>
          <w:r>
            <w:rPr>
              <w:sz w:val="28"/>
              <w:szCs w:val="28"/>
            </w:rPr>
            <w:fldChar w:fldCharType="end"/>
          </w:r>
          <w:r>
            <w:rPr>
              <w:rFonts w:hint="eastAsia"/>
              <w:sz w:val="28"/>
              <w:szCs w:val="28"/>
            </w:rPr>
            <w:fldChar w:fldCharType="end"/>
          </w:r>
        </w:p>
        <w:p w14:paraId="7B2CCECF">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_Toc16677 </w:instrText>
          </w:r>
          <w:r>
            <w:rPr>
              <w:rFonts w:hint="eastAsia"/>
              <w:sz w:val="28"/>
              <w:szCs w:val="28"/>
            </w:rPr>
            <w:fldChar w:fldCharType="separate"/>
          </w:r>
          <w:r>
            <w:rPr>
              <w:rFonts w:hint="eastAsia"/>
              <w:bCs/>
              <w:sz w:val="28"/>
              <w:szCs w:val="28"/>
              <w:lang w:val="en-US" w:eastAsia="zh-CN"/>
            </w:rPr>
            <w:t>（三）</w:t>
          </w:r>
          <w:r>
            <w:rPr>
              <w:rFonts w:hint="default"/>
              <w:bCs/>
              <w:sz w:val="28"/>
              <w:szCs w:val="28"/>
              <w:lang w:val="en-US" w:eastAsia="zh-CN"/>
            </w:rPr>
            <w:t>加强企业环保人员技术培训</w:t>
          </w:r>
          <w:r>
            <w:rPr>
              <w:sz w:val="28"/>
              <w:szCs w:val="28"/>
            </w:rPr>
            <w:tab/>
          </w:r>
          <w:r>
            <w:rPr>
              <w:sz w:val="28"/>
              <w:szCs w:val="28"/>
            </w:rPr>
            <w:fldChar w:fldCharType="begin"/>
          </w:r>
          <w:r>
            <w:rPr>
              <w:sz w:val="28"/>
              <w:szCs w:val="28"/>
            </w:rPr>
            <w:instrText xml:space="preserve"> PAGEREF _Toc16677 \h </w:instrText>
          </w:r>
          <w:r>
            <w:rPr>
              <w:sz w:val="28"/>
              <w:szCs w:val="28"/>
            </w:rPr>
            <w:fldChar w:fldCharType="separate"/>
          </w:r>
          <w:r>
            <w:rPr>
              <w:sz w:val="28"/>
              <w:szCs w:val="28"/>
            </w:rPr>
            <w:t>26</w:t>
          </w:r>
          <w:r>
            <w:rPr>
              <w:sz w:val="28"/>
              <w:szCs w:val="28"/>
            </w:rPr>
            <w:fldChar w:fldCharType="end"/>
          </w:r>
          <w:r>
            <w:rPr>
              <w:rFonts w:hint="eastAsia"/>
              <w:sz w:val="28"/>
              <w:szCs w:val="28"/>
            </w:rPr>
            <w:fldChar w:fldCharType="end"/>
          </w:r>
        </w:p>
        <w:p w14:paraId="6DACE839">
          <w:pPr>
            <w:pStyle w:val="22"/>
            <w:tabs>
              <w:tab w:val="right" w:leader="dot" w:pos="8306"/>
            </w:tabs>
            <w:rPr>
              <w:sz w:val="28"/>
              <w:szCs w:val="28"/>
            </w:rPr>
          </w:pPr>
          <w:r>
            <w:rPr>
              <w:rFonts w:hint="eastAsia"/>
              <w:sz w:val="28"/>
              <w:szCs w:val="28"/>
            </w:rPr>
            <w:fldChar w:fldCharType="begin"/>
          </w:r>
          <w:r>
            <w:rPr>
              <w:rFonts w:hint="eastAsia"/>
              <w:sz w:val="28"/>
              <w:szCs w:val="28"/>
            </w:rPr>
            <w:instrText xml:space="preserve"> HYPERLINK \l _Toc15888 </w:instrText>
          </w:r>
          <w:r>
            <w:rPr>
              <w:rFonts w:hint="eastAsia"/>
              <w:sz w:val="28"/>
              <w:szCs w:val="28"/>
            </w:rPr>
            <w:fldChar w:fldCharType="separate"/>
          </w:r>
          <w:r>
            <w:rPr>
              <w:rFonts w:hint="eastAsia"/>
              <w:bCs/>
              <w:sz w:val="28"/>
              <w:szCs w:val="28"/>
              <w:lang w:val="en-US" w:eastAsia="zh-CN"/>
            </w:rPr>
            <w:t>（四）</w:t>
          </w:r>
          <w:r>
            <w:rPr>
              <w:rFonts w:hint="default"/>
              <w:bCs/>
              <w:sz w:val="28"/>
              <w:szCs w:val="28"/>
              <w:lang w:val="en-US" w:eastAsia="zh-CN"/>
            </w:rPr>
            <w:t>推进园区调区扩区工作</w:t>
          </w:r>
          <w:r>
            <w:rPr>
              <w:sz w:val="28"/>
              <w:szCs w:val="28"/>
            </w:rPr>
            <w:tab/>
          </w:r>
          <w:r>
            <w:rPr>
              <w:sz w:val="28"/>
              <w:szCs w:val="28"/>
            </w:rPr>
            <w:fldChar w:fldCharType="begin"/>
          </w:r>
          <w:r>
            <w:rPr>
              <w:sz w:val="28"/>
              <w:szCs w:val="28"/>
            </w:rPr>
            <w:instrText xml:space="preserve"> PAGEREF _Toc15888 \h </w:instrText>
          </w:r>
          <w:r>
            <w:rPr>
              <w:sz w:val="28"/>
              <w:szCs w:val="28"/>
            </w:rPr>
            <w:fldChar w:fldCharType="separate"/>
          </w:r>
          <w:r>
            <w:rPr>
              <w:sz w:val="28"/>
              <w:szCs w:val="28"/>
            </w:rPr>
            <w:t>26</w:t>
          </w:r>
          <w:r>
            <w:rPr>
              <w:sz w:val="28"/>
              <w:szCs w:val="28"/>
            </w:rPr>
            <w:fldChar w:fldCharType="end"/>
          </w:r>
          <w:r>
            <w:rPr>
              <w:rFonts w:hint="eastAsia"/>
              <w:sz w:val="28"/>
              <w:szCs w:val="28"/>
            </w:rPr>
            <w:fldChar w:fldCharType="end"/>
          </w:r>
        </w:p>
        <w:p w14:paraId="40E292DE">
          <w:pPr>
            <w:pStyle w:val="2"/>
            <w:ind w:left="0" w:leftChars="0" w:firstLine="0" w:firstLineChars="0"/>
            <w:rPr>
              <w:rFonts w:hint="eastAsia" w:ascii="宋体" w:hAnsi="Courier New" w:eastAsia="宋体" w:cstheme="minorBidi"/>
              <w:b/>
              <w:color w:val="000000"/>
              <w:kern w:val="0"/>
              <w:sz w:val="24"/>
              <w:szCs w:val="24"/>
              <w:lang w:val="en-US" w:eastAsia="zh-CN" w:bidi="ar-SA"/>
            </w:rPr>
          </w:pPr>
          <w:r>
            <w:rPr>
              <w:rFonts w:hint="eastAsia"/>
              <w:b/>
              <w:sz w:val="28"/>
              <w:szCs w:val="28"/>
            </w:rPr>
            <w:fldChar w:fldCharType="end"/>
          </w:r>
        </w:p>
      </w:sdtContent>
    </w:sdt>
    <w:p w14:paraId="19B71B7F">
      <w:pPr>
        <w:pStyle w:val="2"/>
        <w:ind w:left="0" w:leftChars="0" w:firstLine="0" w:firstLineChars="0"/>
        <w:rPr>
          <w:rFonts w:hint="eastAsia" w:ascii="宋体" w:hAnsi="Courier New" w:eastAsia="宋体" w:cstheme="minorBidi"/>
          <w:b/>
          <w:color w:val="000000"/>
          <w:kern w:val="0"/>
          <w:sz w:val="24"/>
          <w:szCs w:val="2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99A476D">
      <w:pPr>
        <w:ind w:left="0" w:leftChars="0" w:firstLine="0" w:firstLineChars="0"/>
        <w:outlineLvl w:val="0"/>
        <w:rPr>
          <w:rFonts w:hint="eastAsia"/>
          <w:b/>
          <w:bCs/>
        </w:rPr>
      </w:pPr>
      <w:bookmarkStart w:id="0" w:name="_Toc5624"/>
      <w:r>
        <w:rPr>
          <w:rFonts w:hint="eastAsia"/>
          <w:b/>
          <w:bCs/>
        </w:rPr>
        <w:t>一、园区概况</w:t>
      </w:r>
      <w:bookmarkEnd w:id="0"/>
    </w:p>
    <w:p w14:paraId="3515CBDA">
      <w:pPr>
        <w:rPr>
          <w:rFonts w:hint="eastAsia"/>
        </w:rPr>
      </w:pPr>
      <w:r>
        <w:rPr>
          <w:rFonts w:hint="eastAsia"/>
        </w:rPr>
        <w:t>沅陵产业开发区原为沅陵工业园，经2007年第三期沅陵县委常委会议批准同意，并设立沅陵工业园管理委员会，2012年11月经湖南省人民政府</w:t>
      </w:r>
      <w:r>
        <w:rPr>
          <w:rFonts w:hint="eastAsia"/>
          <w:lang w:eastAsia="zh-CN"/>
        </w:rPr>
        <w:t>（</w:t>
      </w:r>
      <w:r>
        <w:rPr>
          <w:rFonts w:hint="eastAsia"/>
          <w:lang w:val="en-US" w:eastAsia="zh-CN"/>
        </w:rPr>
        <w:t>湘</w:t>
      </w:r>
      <w:r>
        <w:rPr>
          <w:rFonts w:hint="eastAsia"/>
        </w:rPr>
        <w:t>办发[2012]187号</w:t>
      </w:r>
      <w:r>
        <w:rPr>
          <w:rFonts w:hint="eastAsia"/>
          <w:lang w:eastAsia="zh-CN"/>
        </w:rPr>
        <w:t>）</w:t>
      </w:r>
      <w:r>
        <w:rPr>
          <w:rFonts w:hint="eastAsia"/>
        </w:rPr>
        <w:t>批准设立为省级工业集中区，同时更名为沅陵工业集中区。原沅陵工业园管理委员会于2008年5月委托怀化市环境保护科学研究所进行沅陵工业园的环境影响评价工作，2011年1月6日，湖南省环境保护厅以</w:t>
      </w:r>
      <w:r>
        <w:rPr>
          <w:rFonts w:hint="eastAsia"/>
          <w:lang w:eastAsia="zh-CN"/>
        </w:rPr>
        <w:t>（</w:t>
      </w:r>
      <w:r>
        <w:rPr>
          <w:rFonts w:hint="eastAsia"/>
        </w:rPr>
        <w:t>湘环评[2011]5号</w:t>
      </w:r>
      <w:r>
        <w:rPr>
          <w:rFonts w:hint="eastAsia"/>
          <w:lang w:eastAsia="zh-CN"/>
        </w:rPr>
        <w:t>）</w:t>
      </w:r>
      <w:r>
        <w:rPr>
          <w:rFonts w:hint="eastAsia"/>
        </w:rPr>
        <w:t>文件对湖南沅陵新能源新材料产业园项目环境影响报告书进行了批复，成立了湖南沅陵新能源新材料产业园，2012年更名为湖南沅陵工业集中区。2021年经湖南省发展与改革委员会批准更名为沅陵产业开发区。产业园区东依常吉高速公路，北至高速公路沅陵县城连接线，西、南以山体为界，南北长约2km，东西宽约1.5km，大致为2km×1.5km的矩形区域，工业园边界与高速公路及沅陵县城连接线距离不小于30m。规划控制面积约3km</w:t>
      </w:r>
      <w:r>
        <w:rPr>
          <w:rFonts w:hint="eastAsia"/>
          <w:vertAlign w:val="superscript"/>
        </w:rPr>
        <w:t>2</w:t>
      </w:r>
      <w:r>
        <w:rPr>
          <w:rFonts w:hint="eastAsia"/>
        </w:rPr>
        <w:t>，其中工业园建设用地面积2.2819km</w:t>
      </w:r>
      <w:r>
        <w:rPr>
          <w:rFonts w:hint="eastAsia"/>
          <w:vertAlign w:val="superscript"/>
        </w:rPr>
        <w:t>2</w:t>
      </w:r>
      <w:r>
        <w:rPr>
          <w:rFonts w:hint="eastAsia"/>
        </w:rPr>
        <w:t>。根据《中国开发区审核公告目录》（2018年版），沅陵产业开发区的核准面积为300.09hm</w:t>
      </w:r>
      <w:r>
        <w:rPr>
          <w:rFonts w:hint="eastAsia"/>
          <w:vertAlign w:val="superscript"/>
        </w:rPr>
        <w:t>2</w:t>
      </w:r>
      <w:r>
        <w:rPr>
          <w:rFonts w:hint="eastAsia"/>
        </w:rPr>
        <w:t>。园区主导产业为电子信息、新材料、农副产品加工。2021年园区开展了跟踪环评工作，于2021年12月10日通过了湖南省生态环境厅组织的专家评审，2022年5月5日取得湖南省生态环境厅《关于沅陵产业开发区环境影响跟踪评价工作意见的函》（湘环评函</w:t>
      </w:r>
      <w:r>
        <w:rPr>
          <w:rFonts w:hint="eastAsia"/>
          <w:lang w:val="en-US" w:eastAsia="zh-CN"/>
        </w:rPr>
        <w:t>[</w:t>
      </w:r>
      <w:r>
        <w:rPr>
          <w:rFonts w:hint="eastAsia"/>
        </w:rPr>
        <w:t>2022</w:t>
      </w:r>
      <w:r>
        <w:rPr>
          <w:rFonts w:hint="eastAsia"/>
          <w:lang w:val="en-US" w:eastAsia="zh-CN"/>
        </w:rPr>
        <w:t>]</w:t>
      </w:r>
      <w:r>
        <w:rPr>
          <w:rFonts w:hint="eastAsia"/>
        </w:rPr>
        <w:t>16号）。2022年8月，湖南省发展和改革委员会、湖南省自然资源厅《关于发布沅陵产业开发区边界面积及四至范围的通知》</w:t>
      </w:r>
      <w:r>
        <w:rPr>
          <w:rFonts w:hint="eastAsia"/>
          <w:lang w:eastAsia="zh-CN"/>
        </w:rPr>
        <w:t>（</w:t>
      </w:r>
      <w:r>
        <w:rPr>
          <w:rFonts w:hint="eastAsia"/>
        </w:rPr>
        <w:t>湘发改园区[2022]601号</w:t>
      </w:r>
      <w:r>
        <w:rPr>
          <w:rFonts w:hint="eastAsia"/>
          <w:lang w:eastAsia="zh-CN"/>
        </w:rPr>
        <w:t>）</w:t>
      </w:r>
      <w:r>
        <w:rPr>
          <w:rFonts w:hint="eastAsia"/>
        </w:rPr>
        <w:t>，经报省人民政府同意，核定沅陵产业开发区面积共339.28公顷。</w:t>
      </w:r>
    </w:p>
    <w:p w14:paraId="1E121346">
      <w:pPr>
        <w:rPr>
          <w:rFonts w:hint="eastAsia"/>
          <w:highlight w:val="none"/>
        </w:rPr>
      </w:pPr>
      <w:r>
        <w:rPr>
          <w:rFonts w:hint="eastAsia"/>
          <w:highlight w:val="none"/>
        </w:rPr>
        <w:t>根据数据统计，202</w:t>
      </w:r>
      <w:r>
        <w:rPr>
          <w:rFonts w:hint="eastAsia"/>
          <w:highlight w:val="none"/>
          <w:lang w:val="en-US" w:eastAsia="zh-CN"/>
        </w:rPr>
        <w:t>4</w:t>
      </w:r>
      <w:r>
        <w:rPr>
          <w:rFonts w:hint="eastAsia"/>
          <w:highlight w:val="none"/>
        </w:rPr>
        <w:t>年沅陵产业开发区工业总产值</w:t>
      </w:r>
      <w:r>
        <w:rPr>
          <w:rFonts w:hint="eastAsia"/>
          <w:highlight w:val="none"/>
          <w:lang w:val="en-US" w:eastAsia="zh-CN"/>
        </w:rPr>
        <w:t>95.79亿</w:t>
      </w:r>
      <w:r>
        <w:rPr>
          <w:rFonts w:hint="eastAsia"/>
          <w:highlight w:val="none"/>
        </w:rPr>
        <w:t>元。</w:t>
      </w:r>
    </w:p>
    <w:p w14:paraId="3578E1D2">
      <w:pPr>
        <w:rPr>
          <w:rFonts w:hint="eastAsia"/>
        </w:rPr>
      </w:pPr>
      <w:r>
        <w:rPr>
          <w:rFonts w:hint="eastAsia"/>
          <w:highlight w:val="none"/>
        </w:rPr>
        <w:t>截止到202</w:t>
      </w:r>
      <w:r>
        <w:rPr>
          <w:rFonts w:hint="eastAsia"/>
          <w:highlight w:val="none"/>
          <w:lang w:val="en-US" w:eastAsia="zh-CN"/>
        </w:rPr>
        <w:t>4</w:t>
      </w:r>
      <w:r>
        <w:rPr>
          <w:rFonts w:hint="eastAsia"/>
          <w:highlight w:val="none"/>
        </w:rPr>
        <w:t>年底，园区已入园企业数量</w:t>
      </w:r>
      <w:r>
        <w:rPr>
          <w:rFonts w:hint="eastAsia"/>
          <w:highlight w:val="none"/>
          <w:lang w:val="en-US" w:eastAsia="zh-CN"/>
        </w:rPr>
        <w:t>17</w:t>
      </w:r>
      <w:r>
        <w:rPr>
          <w:rFonts w:hint="eastAsia"/>
          <w:highlight w:val="none"/>
        </w:rPr>
        <w:t>个，其中，上一年度末已入园企业数量</w:t>
      </w:r>
      <w:r>
        <w:rPr>
          <w:rFonts w:hint="eastAsia"/>
          <w:highlight w:val="none"/>
          <w:lang w:val="en-US" w:eastAsia="zh-CN"/>
        </w:rPr>
        <w:t>15</w:t>
      </w:r>
      <w:r>
        <w:rPr>
          <w:rFonts w:hint="eastAsia"/>
          <w:highlight w:val="none"/>
        </w:rPr>
        <w:t>个，本年度内新入园企业数量</w:t>
      </w:r>
      <w:r>
        <w:rPr>
          <w:rFonts w:hint="eastAsia"/>
          <w:highlight w:val="none"/>
          <w:lang w:val="en-US" w:eastAsia="zh-CN"/>
        </w:rPr>
        <w:t>2</w:t>
      </w:r>
      <w:r>
        <w:rPr>
          <w:rFonts w:hint="eastAsia"/>
          <w:highlight w:val="none"/>
        </w:rPr>
        <w:t>个</w:t>
      </w:r>
      <w:r>
        <w:rPr>
          <w:rFonts w:hint="eastAsia"/>
        </w:rPr>
        <w:t>。园区辖区内现有生产企业共</w:t>
      </w:r>
      <w:r>
        <w:rPr>
          <w:rFonts w:hint="eastAsia"/>
          <w:lang w:val="en-US" w:eastAsia="zh-CN"/>
        </w:rPr>
        <w:t>11</w:t>
      </w:r>
      <w:r>
        <w:rPr>
          <w:rFonts w:hint="eastAsia"/>
        </w:rPr>
        <w:t>个（其余</w:t>
      </w:r>
      <w:r>
        <w:rPr>
          <w:rFonts w:hint="eastAsia"/>
          <w:lang w:val="en-US" w:eastAsia="zh-CN"/>
        </w:rPr>
        <w:t>4</w:t>
      </w:r>
      <w:r>
        <w:rPr>
          <w:rFonts w:hint="eastAsia"/>
        </w:rPr>
        <w:t>个企业还在办理相关前期手续，未正式投产；</w:t>
      </w:r>
      <w:r>
        <w:rPr>
          <w:rFonts w:hint="eastAsia"/>
          <w:lang w:val="en-US" w:eastAsia="zh-CN"/>
        </w:rPr>
        <w:t>2</w:t>
      </w:r>
      <w:r>
        <w:rPr>
          <w:rFonts w:hint="eastAsia"/>
        </w:rPr>
        <w:t>个企业在建期间因市场和资金原因停产）。</w:t>
      </w:r>
    </w:p>
    <w:p w14:paraId="1BEA5014">
      <w:pPr>
        <w:rPr>
          <w:rFonts w:hint="eastAsia"/>
          <w:highlight w:val="none"/>
        </w:rPr>
      </w:pPr>
      <w:r>
        <w:rPr>
          <w:rFonts w:hint="eastAsia"/>
          <w:highlight w:val="none"/>
        </w:rPr>
        <w:t>园区辖区内已完成环评批复手续企业数量</w:t>
      </w:r>
      <w:r>
        <w:rPr>
          <w:rFonts w:hint="eastAsia"/>
          <w:highlight w:val="none"/>
          <w:lang w:val="en-US" w:eastAsia="zh-CN"/>
        </w:rPr>
        <w:t>12</w:t>
      </w:r>
      <w:r>
        <w:rPr>
          <w:rFonts w:hint="eastAsia"/>
          <w:highlight w:val="none"/>
        </w:rPr>
        <w:t>个，本年度新增项目环评批复</w:t>
      </w:r>
      <w:r>
        <w:rPr>
          <w:rFonts w:hint="eastAsia"/>
          <w:highlight w:val="none"/>
          <w:lang w:val="en-US" w:eastAsia="zh-CN"/>
        </w:rPr>
        <w:t>1</w:t>
      </w:r>
      <w:r>
        <w:rPr>
          <w:rFonts w:hint="eastAsia"/>
          <w:highlight w:val="none"/>
        </w:rPr>
        <w:t>个，</w:t>
      </w:r>
      <w:r>
        <w:rPr>
          <w:rFonts w:hint="eastAsia"/>
          <w:highlight w:val="none"/>
          <w:lang w:val="en-US" w:eastAsia="zh-CN"/>
        </w:rPr>
        <w:t>1</w:t>
      </w:r>
      <w:r>
        <w:rPr>
          <w:rFonts w:hint="eastAsia"/>
          <w:highlight w:val="none"/>
        </w:rPr>
        <w:t>个企业无需办理环评手续。无环评批复的企业有</w:t>
      </w:r>
      <w:r>
        <w:rPr>
          <w:rFonts w:hint="eastAsia"/>
          <w:highlight w:val="none"/>
          <w:lang w:val="en-US" w:eastAsia="zh-CN"/>
        </w:rPr>
        <w:t>4</w:t>
      </w:r>
      <w:r>
        <w:rPr>
          <w:rFonts w:hint="eastAsia"/>
          <w:highlight w:val="none"/>
        </w:rPr>
        <w:t>个（</w:t>
      </w:r>
      <w:r>
        <w:rPr>
          <w:rFonts w:hint="eastAsia"/>
          <w:highlight w:val="none"/>
          <w:lang w:val="en-US" w:eastAsia="zh-CN"/>
        </w:rPr>
        <w:t>3</w:t>
      </w:r>
      <w:r>
        <w:rPr>
          <w:rFonts w:hint="eastAsia"/>
          <w:highlight w:val="none"/>
        </w:rPr>
        <w:t>个正在建设，目前正在办理环评手续；</w:t>
      </w:r>
      <w:r>
        <w:rPr>
          <w:rFonts w:hint="eastAsia"/>
          <w:highlight w:val="none"/>
          <w:lang w:val="en-US" w:eastAsia="zh-CN"/>
        </w:rPr>
        <w:t>1</w:t>
      </w:r>
      <w:r>
        <w:rPr>
          <w:rFonts w:hint="eastAsia"/>
          <w:highlight w:val="none"/>
        </w:rPr>
        <w:t>个企业在建期间因市场和资金</w:t>
      </w:r>
      <w:r>
        <w:rPr>
          <w:rFonts w:hint="eastAsia"/>
          <w:highlight w:val="none"/>
          <w:lang w:val="en-US" w:eastAsia="zh-CN"/>
        </w:rPr>
        <w:t>及其他</w:t>
      </w:r>
      <w:r>
        <w:rPr>
          <w:rFonts w:hint="eastAsia"/>
          <w:highlight w:val="none"/>
        </w:rPr>
        <w:t>原因停产）。园区辖区内已完成环保竣工验收手续企业数量</w:t>
      </w:r>
      <w:r>
        <w:rPr>
          <w:rFonts w:hint="eastAsia"/>
          <w:highlight w:val="none"/>
          <w:lang w:val="en-US" w:eastAsia="zh-CN"/>
        </w:rPr>
        <w:t>10</w:t>
      </w:r>
      <w:r>
        <w:rPr>
          <w:rFonts w:hint="eastAsia"/>
          <w:highlight w:val="none"/>
        </w:rPr>
        <w:t>个，本年度新增环保竣工验收企业数量</w:t>
      </w:r>
      <w:r>
        <w:rPr>
          <w:rFonts w:hint="eastAsia"/>
          <w:highlight w:val="none"/>
          <w:lang w:val="en-US" w:eastAsia="zh-CN"/>
        </w:rPr>
        <w:t>0</w:t>
      </w:r>
      <w:r>
        <w:rPr>
          <w:rFonts w:hint="eastAsia"/>
          <w:highlight w:val="none"/>
        </w:rPr>
        <w:t>个，未完成竣工验收的有</w:t>
      </w:r>
      <w:r>
        <w:rPr>
          <w:rFonts w:hint="eastAsia"/>
          <w:highlight w:val="none"/>
          <w:lang w:val="en-US" w:eastAsia="zh-CN"/>
        </w:rPr>
        <w:t>6</w:t>
      </w:r>
      <w:r>
        <w:rPr>
          <w:rFonts w:hint="eastAsia"/>
          <w:highlight w:val="none"/>
        </w:rPr>
        <w:t>个（</w:t>
      </w:r>
      <w:r>
        <w:rPr>
          <w:rFonts w:hint="eastAsia"/>
          <w:highlight w:val="none"/>
          <w:lang w:val="en-US" w:eastAsia="zh-CN"/>
        </w:rPr>
        <w:t>1</w:t>
      </w:r>
      <w:r>
        <w:rPr>
          <w:rFonts w:hint="eastAsia"/>
          <w:highlight w:val="none"/>
        </w:rPr>
        <w:t>个企业正在验收，</w:t>
      </w:r>
      <w:r>
        <w:rPr>
          <w:rFonts w:hint="eastAsia"/>
          <w:highlight w:val="none"/>
          <w:lang w:val="en-US" w:eastAsia="zh-CN"/>
        </w:rPr>
        <w:t>4</w:t>
      </w:r>
      <w:r>
        <w:rPr>
          <w:rFonts w:hint="eastAsia"/>
          <w:highlight w:val="none"/>
        </w:rPr>
        <w:t>个企业在建，</w:t>
      </w:r>
      <w:r>
        <w:rPr>
          <w:rFonts w:hint="eastAsia"/>
          <w:highlight w:val="none"/>
          <w:lang w:val="en-US" w:eastAsia="zh-CN"/>
        </w:rPr>
        <w:t>1</w:t>
      </w:r>
      <w:r>
        <w:rPr>
          <w:rFonts w:hint="eastAsia"/>
          <w:highlight w:val="none"/>
        </w:rPr>
        <w:t>个企业停产），</w:t>
      </w:r>
      <w:r>
        <w:rPr>
          <w:rFonts w:hint="eastAsia"/>
          <w:highlight w:val="none"/>
          <w:lang w:val="en-US" w:eastAsia="zh-CN"/>
        </w:rPr>
        <w:t>1</w:t>
      </w:r>
      <w:r>
        <w:rPr>
          <w:rFonts w:hint="eastAsia"/>
          <w:highlight w:val="none"/>
        </w:rPr>
        <w:t>个无需办理验收手续。园区内已完成应急预案备案手续企业</w:t>
      </w:r>
      <w:r>
        <w:rPr>
          <w:rFonts w:hint="eastAsia"/>
          <w:highlight w:val="none"/>
          <w:lang w:val="en-US" w:eastAsia="zh-CN"/>
        </w:rPr>
        <w:t>8</w:t>
      </w:r>
      <w:r>
        <w:rPr>
          <w:rFonts w:hint="eastAsia"/>
          <w:highlight w:val="none"/>
        </w:rPr>
        <w:t>个，未完成应急预案备案的企业</w:t>
      </w:r>
      <w:r>
        <w:rPr>
          <w:rFonts w:hint="eastAsia"/>
          <w:highlight w:val="none"/>
          <w:lang w:val="en-US" w:eastAsia="zh-CN"/>
        </w:rPr>
        <w:t>7</w:t>
      </w:r>
      <w:r>
        <w:rPr>
          <w:rFonts w:hint="eastAsia"/>
          <w:highlight w:val="none"/>
        </w:rPr>
        <w:t>个，</w:t>
      </w:r>
      <w:r>
        <w:rPr>
          <w:rFonts w:hint="eastAsia"/>
          <w:highlight w:val="none"/>
          <w:lang w:val="en-US" w:eastAsia="zh-CN"/>
        </w:rPr>
        <w:t>2</w:t>
      </w:r>
      <w:r>
        <w:rPr>
          <w:rFonts w:hint="eastAsia"/>
          <w:highlight w:val="none"/>
        </w:rPr>
        <w:t>个企业不需要办理应急预案。园区内已取得排污许可证企业</w:t>
      </w:r>
      <w:r>
        <w:rPr>
          <w:rFonts w:hint="eastAsia"/>
          <w:highlight w:val="none"/>
          <w:lang w:val="en-US" w:eastAsia="zh-CN"/>
        </w:rPr>
        <w:t>11</w:t>
      </w:r>
      <w:r>
        <w:rPr>
          <w:rFonts w:hint="eastAsia"/>
          <w:highlight w:val="none"/>
        </w:rPr>
        <w:t>个（其中重点管理</w:t>
      </w:r>
      <w:r>
        <w:rPr>
          <w:rFonts w:hint="eastAsia"/>
          <w:highlight w:val="none"/>
          <w:lang w:val="en-US" w:eastAsia="zh-CN"/>
        </w:rPr>
        <w:t>3</w:t>
      </w:r>
      <w:r>
        <w:rPr>
          <w:rFonts w:hint="eastAsia"/>
          <w:highlight w:val="none"/>
        </w:rPr>
        <w:t>家，简化管理</w:t>
      </w:r>
      <w:r>
        <w:rPr>
          <w:rFonts w:hint="eastAsia"/>
          <w:highlight w:val="none"/>
          <w:lang w:val="en-US" w:eastAsia="zh-CN"/>
        </w:rPr>
        <w:t>1</w:t>
      </w:r>
      <w:r>
        <w:rPr>
          <w:rFonts w:hint="eastAsia"/>
          <w:highlight w:val="none"/>
        </w:rPr>
        <w:t>家、登记管理</w:t>
      </w:r>
      <w:r>
        <w:rPr>
          <w:rFonts w:hint="eastAsia"/>
          <w:highlight w:val="none"/>
          <w:lang w:val="en-US" w:eastAsia="zh-CN"/>
        </w:rPr>
        <w:t>7</w:t>
      </w:r>
      <w:r>
        <w:rPr>
          <w:rFonts w:hint="eastAsia"/>
          <w:highlight w:val="none"/>
        </w:rPr>
        <w:t>家），</w:t>
      </w:r>
      <w:r>
        <w:rPr>
          <w:rFonts w:hint="eastAsia"/>
          <w:highlight w:val="none"/>
          <w:lang w:val="en-US" w:eastAsia="zh-CN"/>
        </w:rPr>
        <w:t>4</w:t>
      </w:r>
      <w:r>
        <w:rPr>
          <w:rFonts w:hint="eastAsia"/>
          <w:highlight w:val="none"/>
        </w:rPr>
        <w:t>个正在办理排污许可证（</w:t>
      </w:r>
      <w:r>
        <w:rPr>
          <w:rFonts w:hint="eastAsia"/>
          <w:highlight w:val="none"/>
          <w:lang w:val="en-US" w:eastAsia="zh-CN"/>
        </w:rPr>
        <w:t>3</w:t>
      </w:r>
      <w:r>
        <w:rPr>
          <w:rFonts w:hint="eastAsia"/>
          <w:highlight w:val="none"/>
        </w:rPr>
        <w:t>个企业在建，</w:t>
      </w:r>
      <w:r>
        <w:rPr>
          <w:rFonts w:hint="eastAsia"/>
          <w:highlight w:val="none"/>
          <w:lang w:val="en-US" w:eastAsia="zh-CN"/>
        </w:rPr>
        <w:t>1</w:t>
      </w:r>
      <w:r>
        <w:rPr>
          <w:rFonts w:hint="eastAsia"/>
          <w:highlight w:val="none"/>
        </w:rPr>
        <w:t>个企业在建期间停产），</w:t>
      </w:r>
      <w:r>
        <w:rPr>
          <w:rFonts w:hint="eastAsia"/>
          <w:highlight w:val="none"/>
          <w:lang w:val="en-US" w:eastAsia="zh-CN"/>
        </w:rPr>
        <w:t>2</w:t>
      </w:r>
      <w:r>
        <w:rPr>
          <w:rFonts w:hint="eastAsia"/>
          <w:highlight w:val="none"/>
        </w:rPr>
        <w:t>个企业无需办理排污许可证。园区内现有企业均不属于涉及辐射类企业，无需办理辐射许可证。</w:t>
      </w:r>
    </w:p>
    <w:p w14:paraId="34E114A7">
      <w:pPr>
        <w:rPr>
          <w:rFonts w:hint="eastAsia"/>
          <w:highlight w:val="none"/>
        </w:rPr>
      </w:pPr>
      <w:r>
        <w:rPr>
          <w:rFonts w:hint="eastAsia"/>
          <w:highlight w:val="none"/>
        </w:rPr>
        <w:t>园区主要污染物总量控制指标：化学需氧量≤517t/a，二氧化硫≤200t/a。</w:t>
      </w:r>
    </w:p>
    <w:p w14:paraId="59B425D5">
      <w:pPr>
        <w:ind w:left="0" w:leftChars="0" w:firstLine="0" w:firstLineChars="0"/>
        <w:outlineLvl w:val="0"/>
        <w:rPr>
          <w:rFonts w:hint="default"/>
          <w:b/>
          <w:bCs/>
          <w:highlight w:val="none"/>
          <w:lang w:val="en-US" w:eastAsia="zh-CN"/>
        </w:rPr>
      </w:pPr>
      <w:bookmarkStart w:id="1" w:name="_Toc12448"/>
      <w:r>
        <w:rPr>
          <w:rFonts w:hint="default"/>
          <w:b/>
          <w:bCs/>
          <w:highlight w:val="none"/>
          <w:lang w:val="en-US" w:eastAsia="zh-CN"/>
        </w:rPr>
        <w:t>二、环境管理情况</w:t>
      </w:r>
      <w:bookmarkEnd w:id="1"/>
    </w:p>
    <w:p w14:paraId="193BF7D5">
      <w:pPr>
        <w:outlineLvl w:val="1"/>
        <w:rPr>
          <w:rFonts w:hint="default"/>
          <w:b/>
          <w:bCs/>
          <w:highlight w:val="none"/>
          <w:lang w:val="en-US" w:eastAsia="zh-CN"/>
        </w:rPr>
      </w:pPr>
      <w:bookmarkStart w:id="2" w:name="_Toc6418"/>
      <w:r>
        <w:rPr>
          <w:rFonts w:hint="default"/>
          <w:b/>
          <w:bCs/>
          <w:highlight w:val="none"/>
          <w:lang w:val="en-US" w:eastAsia="zh-CN"/>
        </w:rPr>
        <w:t>（一）规划环评批复要求落实情况</w:t>
      </w:r>
      <w:bookmarkEnd w:id="2"/>
    </w:p>
    <w:p w14:paraId="02C24738">
      <w:pPr>
        <w:rPr>
          <w:rFonts w:hint="default"/>
          <w:b/>
          <w:bCs/>
          <w:highlight w:val="none"/>
          <w:lang w:val="en-US" w:eastAsia="zh-CN"/>
        </w:rPr>
      </w:pPr>
      <w:r>
        <w:rPr>
          <w:rFonts w:hint="default"/>
          <w:b/>
          <w:bCs/>
          <w:highlight w:val="none"/>
          <w:lang w:val="en-US" w:eastAsia="zh-CN"/>
        </w:rPr>
        <w:t>1、规划环评批复要求落实情况</w:t>
      </w:r>
    </w:p>
    <w:p w14:paraId="79556B62">
      <w:pPr>
        <w:rPr>
          <w:rFonts w:hint="default"/>
          <w:highlight w:val="none"/>
          <w:lang w:val="en-US" w:eastAsia="zh-CN"/>
        </w:rPr>
      </w:pPr>
      <w:r>
        <w:rPr>
          <w:rFonts w:hint="default"/>
          <w:highlight w:val="none"/>
          <w:lang w:val="en-US" w:eastAsia="zh-CN"/>
        </w:rPr>
        <w:t>2011年1月6日，原湖南省环境保护厅出具了关于《湖南沅陵新能源新材料产业园项目环境影响报告书》批复的函（湘环评</w:t>
      </w:r>
      <w:r>
        <w:rPr>
          <w:rFonts w:hint="eastAsia"/>
          <w:highlight w:val="none"/>
          <w:lang w:val="en-US" w:eastAsia="zh-CN"/>
        </w:rPr>
        <w:t>[</w:t>
      </w:r>
      <w:r>
        <w:rPr>
          <w:rFonts w:hint="default"/>
          <w:highlight w:val="none"/>
          <w:lang w:val="en-US" w:eastAsia="zh-CN"/>
        </w:rPr>
        <w:t>2011</w:t>
      </w:r>
      <w:r>
        <w:rPr>
          <w:rFonts w:hint="eastAsia"/>
          <w:highlight w:val="none"/>
          <w:lang w:val="en-US" w:eastAsia="zh-CN"/>
        </w:rPr>
        <w:t>]</w:t>
      </w:r>
      <w:r>
        <w:rPr>
          <w:rFonts w:hint="default"/>
          <w:highlight w:val="none"/>
          <w:lang w:val="en-US" w:eastAsia="zh-CN"/>
        </w:rPr>
        <w:t>5号），根据该批复文件，园区具体落实情况见下表。</w:t>
      </w:r>
    </w:p>
    <w:p w14:paraId="39114F3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b/>
          <w:bCs/>
          <w:sz w:val="24"/>
          <w:szCs w:val="24"/>
          <w:highlight w:val="none"/>
          <w:lang w:val="en-US" w:eastAsia="zh-CN"/>
        </w:rPr>
      </w:pPr>
      <w:r>
        <w:rPr>
          <w:rFonts w:hint="default"/>
          <w:b/>
          <w:bCs/>
          <w:sz w:val="24"/>
          <w:szCs w:val="24"/>
          <w:highlight w:val="none"/>
          <w:lang w:val="en-US" w:eastAsia="zh-CN"/>
        </w:rPr>
        <w:t>表1  湘环评</w:t>
      </w:r>
      <w:r>
        <w:rPr>
          <w:rFonts w:hint="eastAsia"/>
          <w:b/>
          <w:bCs/>
          <w:sz w:val="24"/>
          <w:szCs w:val="24"/>
          <w:highlight w:val="none"/>
          <w:lang w:val="en-US" w:eastAsia="zh-CN"/>
        </w:rPr>
        <w:t>[</w:t>
      </w:r>
      <w:r>
        <w:rPr>
          <w:rFonts w:hint="default"/>
          <w:b/>
          <w:bCs/>
          <w:sz w:val="24"/>
          <w:szCs w:val="24"/>
          <w:highlight w:val="none"/>
          <w:lang w:val="en-US" w:eastAsia="zh-CN"/>
        </w:rPr>
        <w:t>2011</w:t>
      </w:r>
      <w:r>
        <w:rPr>
          <w:rFonts w:hint="eastAsia"/>
          <w:b/>
          <w:bCs/>
          <w:sz w:val="24"/>
          <w:szCs w:val="24"/>
          <w:highlight w:val="none"/>
          <w:lang w:val="en-US" w:eastAsia="zh-CN"/>
        </w:rPr>
        <w:t>]</w:t>
      </w:r>
      <w:r>
        <w:rPr>
          <w:rFonts w:hint="default"/>
          <w:b/>
          <w:bCs/>
          <w:sz w:val="24"/>
          <w:szCs w:val="24"/>
          <w:highlight w:val="none"/>
          <w:lang w:val="en-US" w:eastAsia="zh-CN"/>
        </w:rPr>
        <w:t>5号文要点及其执行情况一览表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3409"/>
        <w:gridCol w:w="3409"/>
        <w:gridCol w:w="762"/>
      </w:tblGrid>
      <w:tr w14:paraId="3E96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711283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sz w:val="24"/>
                <w:szCs w:val="24"/>
                <w:lang w:val="en-US" w:eastAsia="zh-CN"/>
              </w:rPr>
            </w:pPr>
            <w:r>
              <w:rPr>
                <w:rFonts w:hint="eastAsia"/>
                <w:b/>
                <w:bCs/>
                <w:sz w:val="24"/>
                <w:szCs w:val="24"/>
              </w:rPr>
              <w:t>序号</w:t>
            </w:r>
          </w:p>
        </w:tc>
        <w:tc>
          <w:tcPr>
            <w:tcW w:w="3409" w:type="dxa"/>
            <w:vAlign w:val="center"/>
          </w:tcPr>
          <w:p w14:paraId="2CFDF9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sz w:val="24"/>
                <w:szCs w:val="24"/>
                <w:lang w:val="en-US" w:eastAsia="zh-CN"/>
              </w:rPr>
            </w:pPr>
            <w:r>
              <w:rPr>
                <w:rFonts w:hint="eastAsia"/>
                <w:b/>
                <w:bCs/>
                <w:sz w:val="24"/>
                <w:szCs w:val="24"/>
              </w:rPr>
              <w:t>规划及环评要求</w:t>
            </w:r>
          </w:p>
        </w:tc>
        <w:tc>
          <w:tcPr>
            <w:tcW w:w="3409" w:type="dxa"/>
            <w:vAlign w:val="center"/>
          </w:tcPr>
          <w:p w14:paraId="3FA268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sz w:val="24"/>
                <w:szCs w:val="24"/>
                <w:lang w:val="en-US" w:eastAsia="zh-CN"/>
              </w:rPr>
            </w:pPr>
            <w:r>
              <w:rPr>
                <w:rFonts w:hint="eastAsia"/>
                <w:b/>
                <w:bCs/>
                <w:sz w:val="24"/>
                <w:szCs w:val="24"/>
              </w:rPr>
              <w:t>实际建设情况</w:t>
            </w:r>
          </w:p>
        </w:tc>
        <w:tc>
          <w:tcPr>
            <w:tcW w:w="762" w:type="dxa"/>
            <w:vAlign w:val="center"/>
          </w:tcPr>
          <w:p w14:paraId="4DC7C8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24"/>
                <w:szCs w:val="24"/>
              </w:rPr>
            </w:pPr>
            <w:r>
              <w:rPr>
                <w:rFonts w:hint="eastAsia"/>
                <w:b/>
                <w:bCs/>
                <w:sz w:val="24"/>
                <w:szCs w:val="24"/>
              </w:rPr>
              <w:t>是否</w:t>
            </w:r>
          </w:p>
          <w:p w14:paraId="4AB2B6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sz w:val="24"/>
                <w:szCs w:val="24"/>
                <w:lang w:val="en-US" w:eastAsia="zh-CN"/>
              </w:rPr>
            </w:pPr>
            <w:r>
              <w:rPr>
                <w:rFonts w:hint="eastAsia"/>
                <w:b/>
                <w:bCs/>
                <w:sz w:val="24"/>
                <w:szCs w:val="24"/>
              </w:rPr>
              <w:t>落实</w:t>
            </w:r>
          </w:p>
        </w:tc>
      </w:tr>
      <w:tr w14:paraId="02C5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2139FD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rPr>
              <w:t>1、进一步优化规划布局</w:t>
            </w:r>
          </w:p>
        </w:tc>
        <w:tc>
          <w:tcPr>
            <w:tcW w:w="3409" w:type="dxa"/>
            <w:vAlign w:val="center"/>
          </w:tcPr>
          <w:p w14:paraId="1CF6786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做好园区规划布局，园区自东北向西南依次布置新能源新材料产业区、综合服务区、农副食品加工区，严格按照功能区划进行开发建设、园区内不设居住用地，确保功能区划明确、产业相对集中、生态环境优良。</w:t>
            </w:r>
          </w:p>
        </w:tc>
        <w:tc>
          <w:tcPr>
            <w:tcW w:w="3409" w:type="dxa"/>
            <w:vAlign w:val="center"/>
          </w:tcPr>
          <w:p w14:paraId="1271B13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（1）园区园区自东北向西南依次布置新能源新材料产业区、综合服务区、农副食品加工区。（2）园区内不设居住用地，但在实际实施过程中，区内西北面设有高岩安置区、区内东南部设有刘家安置区</w:t>
            </w:r>
          </w:p>
        </w:tc>
        <w:tc>
          <w:tcPr>
            <w:tcW w:w="762" w:type="dxa"/>
            <w:vAlign w:val="center"/>
          </w:tcPr>
          <w:p w14:paraId="6DEE25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lang w:val="en-US" w:eastAsia="zh-CN"/>
              </w:rPr>
              <w:t>基本</w:t>
            </w:r>
            <w:r>
              <w:rPr>
                <w:rFonts w:hint="eastAsia"/>
                <w:sz w:val="24"/>
                <w:szCs w:val="24"/>
              </w:rPr>
              <w:t>落实</w:t>
            </w:r>
          </w:p>
        </w:tc>
      </w:tr>
      <w:tr w14:paraId="0871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4107D5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rPr>
              <w:t>2、严格执行集中区入园企业准入制度</w:t>
            </w:r>
          </w:p>
        </w:tc>
        <w:tc>
          <w:tcPr>
            <w:tcW w:w="3409" w:type="dxa"/>
            <w:vAlign w:val="center"/>
          </w:tcPr>
          <w:p w14:paraId="5F9E70C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严格执行入园企业准入制度，入园项目选址必须符合园区总体发展规划、环保规划及工业园主导产业定位要求，不得引进国家明令淘汰和禁止发展的能耗物耗高、污染严重、不符合产业政策的建设项目，防止污染项目转移落户园区，不新建三类工业项目。管委会必须按照报告书提出的项目入园条件控制要求和</w:t>
            </w:r>
            <w:r>
              <w:rPr>
                <w:rFonts w:hint="eastAsia"/>
                <w:sz w:val="24"/>
                <w:szCs w:val="24"/>
                <w:lang w:val="en-US" w:eastAsia="zh-CN"/>
              </w:rPr>
              <w:t>“</w:t>
            </w:r>
            <w:r>
              <w:rPr>
                <w:rFonts w:hint="default"/>
                <w:sz w:val="24"/>
                <w:szCs w:val="24"/>
                <w:lang w:val="en-US" w:eastAsia="zh-CN"/>
              </w:rPr>
              <w:t>优先、禁止类项目（行业准入名单）</w:t>
            </w:r>
            <w:r>
              <w:rPr>
                <w:rFonts w:hint="eastAsia"/>
                <w:sz w:val="24"/>
                <w:szCs w:val="24"/>
                <w:lang w:val="en-US" w:eastAsia="zh-CN"/>
              </w:rPr>
              <w:t>”</w:t>
            </w:r>
            <w:r>
              <w:rPr>
                <w:rFonts w:hint="default"/>
                <w:sz w:val="24"/>
                <w:szCs w:val="24"/>
                <w:lang w:val="en-US" w:eastAsia="zh-CN"/>
              </w:rPr>
              <w:t>做好项目的招商把关，在入园项目前期和建设期，必须严格执行建设想缓解影响评价和</w:t>
            </w:r>
            <w:r>
              <w:rPr>
                <w:rFonts w:hint="eastAsia"/>
                <w:sz w:val="24"/>
                <w:szCs w:val="24"/>
                <w:lang w:val="en-US" w:eastAsia="zh-CN"/>
              </w:rPr>
              <w:t>“</w:t>
            </w:r>
            <w:r>
              <w:rPr>
                <w:rFonts w:hint="default"/>
                <w:sz w:val="24"/>
                <w:szCs w:val="24"/>
                <w:lang w:val="en-US" w:eastAsia="zh-CN"/>
              </w:rPr>
              <w:t>三同时</w:t>
            </w:r>
            <w:r>
              <w:rPr>
                <w:rFonts w:hint="eastAsia"/>
                <w:sz w:val="24"/>
                <w:szCs w:val="24"/>
                <w:lang w:val="en-US" w:eastAsia="zh-CN"/>
              </w:rPr>
              <w:t>”</w:t>
            </w:r>
            <w:r>
              <w:rPr>
                <w:rFonts w:hint="default"/>
                <w:sz w:val="24"/>
                <w:szCs w:val="24"/>
                <w:lang w:val="en-US" w:eastAsia="zh-CN"/>
              </w:rPr>
              <w:t>制度，其排污浓度、总量必须满足达标排放和总量控制要求，并推行清洁生产工艺，从源头防治污染。</w:t>
            </w:r>
          </w:p>
        </w:tc>
        <w:tc>
          <w:tcPr>
            <w:tcW w:w="3409" w:type="dxa"/>
            <w:vAlign w:val="center"/>
          </w:tcPr>
          <w:p w14:paraId="3254DF0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园区在引进项目的过程中，执行了入园企业准入制度，入园项目选址均符合园区总体发展规划、环保规划及工业园主导产业定位要求；管委会按照报告书提出的项目入园条件控制要求和</w:t>
            </w:r>
            <w:r>
              <w:rPr>
                <w:rFonts w:hint="eastAsia"/>
                <w:sz w:val="24"/>
                <w:szCs w:val="24"/>
                <w:lang w:val="en-US" w:eastAsia="zh-CN"/>
              </w:rPr>
              <w:t>“</w:t>
            </w:r>
            <w:r>
              <w:rPr>
                <w:rFonts w:hint="default"/>
                <w:sz w:val="24"/>
                <w:szCs w:val="24"/>
                <w:lang w:val="en-US" w:eastAsia="zh-CN"/>
              </w:rPr>
              <w:t>优先、禁止类项目（行 业）准入名单</w:t>
            </w:r>
            <w:r>
              <w:rPr>
                <w:rFonts w:hint="eastAsia"/>
                <w:sz w:val="24"/>
                <w:szCs w:val="24"/>
                <w:lang w:val="en-US" w:eastAsia="zh-CN"/>
              </w:rPr>
              <w:t>”</w:t>
            </w:r>
            <w:r>
              <w:rPr>
                <w:rFonts w:hint="default"/>
                <w:sz w:val="24"/>
                <w:szCs w:val="24"/>
                <w:lang w:val="en-US" w:eastAsia="zh-CN"/>
              </w:rPr>
              <w:t>做好项目的招商把关；园区未引进国家明令淘汰和禁止发展的能耗高、环境污染严重、不符合产业政策的建设项目，未新建三类工业项目；根据怀化市政府及相关部门意见严格限制排水量大及以水型污染为特征的企业进入；在入园项目前期和建设期，园区管委会要求入园企业严格执行建设项目环境影响评价和</w:t>
            </w:r>
            <w:r>
              <w:rPr>
                <w:rFonts w:hint="eastAsia"/>
                <w:sz w:val="24"/>
                <w:szCs w:val="24"/>
                <w:lang w:val="en-US" w:eastAsia="zh-CN"/>
              </w:rPr>
              <w:t>“</w:t>
            </w:r>
            <w:r>
              <w:rPr>
                <w:rFonts w:hint="default"/>
                <w:sz w:val="24"/>
                <w:szCs w:val="24"/>
                <w:lang w:val="en-US" w:eastAsia="zh-CN"/>
              </w:rPr>
              <w:t>三同时</w:t>
            </w:r>
            <w:r>
              <w:rPr>
                <w:rFonts w:hint="eastAsia"/>
                <w:sz w:val="24"/>
                <w:szCs w:val="24"/>
                <w:lang w:val="en-US" w:eastAsia="zh-CN"/>
              </w:rPr>
              <w:t>”</w:t>
            </w:r>
            <w:r>
              <w:rPr>
                <w:rFonts w:hint="default"/>
                <w:sz w:val="24"/>
                <w:szCs w:val="24"/>
                <w:lang w:val="en-US" w:eastAsia="zh-CN"/>
              </w:rPr>
              <w:t>管理制度，推行清洁生产工艺；目前各入园企业排污浓度、总量均满足达标排放和总量控制要求</w:t>
            </w:r>
          </w:p>
        </w:tc>
        <w:tc>
          <w:tcPr>
            <w:tcW w:w="762" w:type="dxa"/>
            <w:vAlign w:val="center"/>
          </w:tcPr>
          <w:p w14:paraId="57310F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rPr>
              <w:t>已落实</w:t>
            </w:r>
          </w:p>
        </w:tc>
      </w:tr>
      <w:tr w14:paraId="40C0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739242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rPr>
              <w:t>3、落实集中区水污染控制措施</w:t>
            </w:r>
          </w:p>
        </w:tc>
        <w:tc>
          <w:tcPr>
            <w:tcW w:w="3409" w:type="dxa"/>
            <w:vAlign w:val="center"/>
          </w:tcPr>
          <w:p w14:paraId="133F17B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按雨污分流制建设园区排水管网，加快园区污水处理厂等配套基础设施建设进度，截污、排污管网必须与道路建设及区域开发同步进行，保障园区污水顺利进入污水集中处理厂，园区污水处理厂应兼顾邻近凉水井集镇区生活污水处理，按照报告书要求将其近期规模调整至1.5万m</w:t>
            </w:r>
            <w:r>
              <w:rPr>
                <w:rFonts w:hint="default"/>
                <w:sz w:val="24"/>
                <w:szCs w:val="24"/>
                <w:vertAlign w:val="superscript"/>
                <w:lang w:val="en-US" w:eastAsia="zh-CN"/>
              </w:rPr>
              <w:t>3</w:t>
            </w:r>
            <w:r>
              <w:rPr>
                <w:rFonts w:hint="default"/>
                <w:sz w:val="24"/>
                <w:szCs w:val="24"/>
                <w:lang w:val="en-US" w:eastAsia="zh-CN"/>
              </w:rPr>
              <w:t>/d以上；污水处理厂具体选址、规模、工艺等必须另行环评确定。园区污水处理厂建成前，入园企业外排废水必须自行处理达到《污水综合排放标准》（GB8978-1996）一级标准；污水处理厂建成运营后，园区各企业单位废水必须进行处理满足污水处理厂进水水质要求后，通过污水管网集中送至园区污水处理厂深度处理后排入蓝溪河；一类污染物在企业车间排放口达标。</w:t>
            </w:r>
          </w:p>
        </w:tc>
        <w:tc>
          <w:tcPr>
            <w:tcW w:w="3409" w:type="dxa"/>
            <w:vAlign w:val="center"/>
          </w:tcPr>
          <w:p w14:paraId="6FAACA6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沅陵产业开发区由于园区开发程度不高，污水处理站设计建设规模较小。目前园区建有集中污水处理厂1座及污水收集管网5.67公里，污水处理设施设计总规模为15000吨/天，已建成1500吨/天。其中一期建成规模500吨/天，一期工程处理工艺为FMBR兼氧膜技术工艺。二期建成规模1000吨/天，二期工程处理工艺为A</w:t>
            </w:r>
            <w:r>
              <w:rPr>
                <w:rFonts w:hint="default"/>
                <w:sz w:val="24"/>
                <w:szCs w:val="24"/>
                <w:vertAlign w:val="subscript"/>
                <w:lang w:val="en-US" w:eastAsia="zh-CN"/>
              </w:rPr>
              <w:t>2</w:t>
            </w:r>
            <w:r>
              <w:rPr>
                <w:rFonts w:hint="default"/>
                <w:sz w:val="24"/>
                <w:szCs w:val="24"/>
                <w:lang w:val="en-US" w:eastAsia="zh-CN"/>
              </w:rPr>
              <w:t>O+MBR组合工艺。园区污水处理设施尾水已将排口迁改到蓝溪河边，已办理了入河排污口申报手续并获批，污水厂安装了自动在线监控设备并与省、市、区生态环境部门24小时联网。园区各企业单位废水通过污水管网集中送至园区污水处理厂深度处理达到《城镇污水处理厂污染物排放标准》（GB18918-2002）中表1之一级B标准后排入蓝溪河。园区暂不产生一类污染物。</w:t>
            </w:r>
          </w:p>
        </w:tc>
        <w:tc>
          <w:tcPr>
            <w:tcW w:w="762" w:type="dxa"/>
            <w:vAlign w:val="center"/>
          </w:tcPr>
          <w:p w14:paraId="4D5618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lang w:val="en-US" w:eastAsia="zh-CN"/>
              </w:rPr>
              <w:t>基本</w:t>
            </w:r>
            <w:r>
              <w:rPr>
                <w:rFonts w:hint="eastAsia"/>
                <w:sz w:val="24"/>
                <w:szCs w:val="24"/>
              </w:rPr>
              <w:t>落实</w:t>
            </w:r>
          </w:p>
        </w:tc>
      </w:tr>
      <w:tr w14:paraId="1B47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3E69AB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rPr>
              <w:t>4、按报告书要求做好集中区大气污控制措施</w:t>
            </w:r>
          </w:p>
        </w:tc>
        <w:tc>
          <w:tcPr>
            <w:tcW w:w="3409" w:type="dxa"/>
            <w:vAlign w:val="center"/>
          </w:tcPr>
          <w:p w14:paraId="552A27C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按报告书要求做好园区大气污染控制措施。管委会应做好园区内低硫煤的统一调配和供应，并积极推广清洁能源；加强入园企业环保管理，督促企业配套建设污染物防治设施，入园企业各生产装置排放的废弃需经处理达到相应的行业排放标准及《大气污染物综合排放标准》中的二级标准；加强生产工艺研究与技术改进，采取有效措施，减少园区内工艺废气的无组织排放。</w:t>
            </w:r>
          </w:p>
        </w:tc>
        <w:tc>
          <w:tcPr>
            <w:tcW w:w="3409" w:type="dxa"/>
            <w:vAlign w:val="center"/>
          </w:tcPr>
          <w:p w14:paraId="0B8B990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园区已完成能源结构的转变，已实现</w:t>
            </w:r>
            <w:r>
              <w:rPr>
                <w:rFonts w:hint="eastAsia"/>
                <w:sz w:val="24"/>
                <w:szCs w:val="24"/>
                <w:lang w:val="en-US" w:eastAsia="zh-CN"/>
              </w:rPr>
              <w:t>“</w:t>
            </w:r>
            <w:r>
              <w:rPr>
                <w:rFonts w:hint="default"/>
                <w:sz w:val="24"/>
                <w:szCs w:val="24"/>
                <w:lang w:val="en-US" w:eastAsia="zh-CN"/>
              </w:rPr>
              <w:t>全面禁煤</w:t>
            </w:r>
            <w:r>
              <w:rPr>
                <w:rFonts w:hint="eastAsia"/>
                <w:sz w:val="24"/>
                <w:szCs w:val="24"/>
                <w:lang w:val="en-US" w:eastAsia="zh-CN"/>
              </w:rPr>
              <w:t>”</w:t>
            </w:r>
            <w:r>
              <w:rPr>
                <w:rFonts w:hint="default"/>
                <w:sz w:val="24"/>
                <w:szCs w:val="24"/>
                <w:lang w:val="en-US" w:eastAsia="zh-CN"/>
              </w:rPr>
              <w:t>，目前园区内主要使用能源为电、天然气和生物质；园区管委会要求入园企业加强环保管理，按照</w:t>
            </w:r>
            <w:r>
              <w:rPr>
                <w:rFonts w:hint="eastAsia"/>
                <w:sz w:val="24"/>
                <w:szCs w:val="24"/>
                <w:lang w:val="en-US" w:eastAsia="zh-CN"/>
              </w:rPr>
              <w:t>“</w:t>
            </w:r>
            <w:r>
              <w:rPr>
                <w:rFonts w:hint="default"/>
                <w:sz w:val="24"/>
                <w:szCs w:val="24"/>
                <w:lang w:val="en-US" w:eastAsia="zh-CN"/>
              </w:rPr>
              <w:t>三同时</w:t>
            </w:r>
            <w:r>
              <w:rPr>
                <w:rFonts w:hint="eastAsia"/>
                <w:sz w:val="24"/>
                <w:szCs w:val="24"/>
                <w:lang w:val="en-US" w:eastAsia="zh-CN"/>
              </w:rPr>
              <w:t>”</w:t>
            </w:r>
            <w:r>
              <w:rPr>
                <w:rFonts w:hint="default"/>
                <w:sz w:val="24"/>
                <w:szCs w:val="24"/>
                <w:lang w:val="en-US" w:eastAsia="zh-CN"/>
              </w:rPr>
              <w:t>制度配套建设污染防治设施，入园企业各生产装置排放 的废气须经处理达到相应的行业排放标准及《大气污染物综合排放标准》中的二级标准。园区已于2019年9月建成检测参数为PM</w:t>
            </w:r>
            <w:r>
              <w:rPr>
                <w:rFonts w:hint="default"/>
                <w:sz w:val="24"/>
                <w:szCs w:val="24"/>
                <w:vertAlign w:val="subscript"/>
                <w:lang w:val="en-US" w:eastAsia="zh-CN"/>
              </w:rPr>
              <w:t>10</w:t>
            </w:r>
            <w:r>
              <w:rPr>
                <w:rFonts w:hint="default"/>
                <w:sz w:val="24"/>
                <w:szCs w:val="24"/>
                <w:lang w:val="en-US" w:eastAsia="zh-CN"/>
              </w:rPr>
              <w:t>、PM</w:t>
            </w:r>
            <w:r>
              <w:rPr>
                <w:rFonts w:hint="default"/>
                <w:sz w:val="24"/>
                <w:szCs w:val="24"/>
                <w:vertAlign w:val="subscript"/>
                <w:lang w:val="en-US" w:eastAsia="zh-CN"/>
              </w:rPr>
              <w:t>2.5</w:t>
            </w:r>
            <w:r>
              <w:rPr>
                <w:rFonts w:hint="default"/>
                <w:sz w:val="24"/>
                <w:szCs w:val="24"/>
                <w:lang w:val="en-US" w:eastAsia="zh-CN"/>
              </w:rPr>
              <w:t>、SO</w:t>
            </w:r>
            <w:r>
              <w:rPr>
                <w:rFonts w:hint="default"/>
                <w:sz w:val="24"/>
                <w:szCs w:val="24"/>
                <w:vertAlign w:val="subscript"/>
                <w:lang w:val="en-US" w:eastAsia="zh-CN"/>
              </w:rPr>
              <w:t>2</w:t>
            </w:r>
            <w:r>
              <w:rPr>
                <w:rFonts w:hint="default"/>
                <w:sz w:val="24"/>
                <w:szCs w:val="24"/>
                <w:lang w:val="en-US" w:eastAsia="zh-CN"/>
              </w:rPr>
              <w:t>、NO</w:t>
            </w:r>
            <w:r>
              <w:rPr>
                <w:rFonts w:hint="default"/>
                <w:sz w:val="24"/>
                <w:szCs w:val="24"/>
                <w:vertAlign w:val="subscript"/>
                <w:lang w:val="en-US" w:eastAsia="zh-CN"/>
              </w:rPr>
              <w:t>2</w:t>
            </w:r>
            <w:r>
              <w:rPr>
                <w:rFonts w:hint="default"/>
                <w:sz w:val="24"/>
                <w:szCs w:val="24"/>
                <w:lang w:val="en-US" w:eastAsia="zh-CN"/>
              </w:rPr>
              <w:t>、CO、O</w:t>
            </w:r>
            <w:r>
              <w:rPr>
                <w:rFonts w:hint="default"/>
                <w:sz w:val="24"/>
                <w:szCs w:val="24"/>
                <w:vertAlign w:val="subscript"/>
                <w:lang w:val="en-US" w:eastAsia="zh-CN"/>
              </w:rPr>
              <w:t>3</w:t>
            </w:r>
            <w:r>
              <w:rPr>
                <w:rFonts w:hint="default"/>
                <w:sz w:val="24"/>
                <w:szCs w:val="24"/>
                <w:lang w:val="en-US" w:eastAsia="zh-CN"/>
              </w:rPr>
              <w:t>及气象五参数的微型空气监测站一座。</w:t>
            </w:r>
          </w:p>
        </w:tc>
        <w:tc>
          <w:tcPr>
            <w:tcW w:w="762" w:type="dxa"/>
            <w:vAlign w:val="center"/>
          </w:tcPr>
          <w:p w14:paraId="3C5E34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rPr>
              <w:t>已落实</w:t>
            </w:r>
          </w:p>
        </w:tc>
      </w:tr>
      <w:tr w14:paraId="5F0E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2CDD67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rPr>
              <w:t>5、做好集中区工业固体废物和生活垃圾处理</w:t>
            </w:r>
          </w:p>
        </w:tc>
        <w:tc>
          <w:tcPr>
            <w:tcW w:w="3409" w:type="dxa"/>
            <w:vAlign w:val="center"/>
          </w:tcPr>
          <w:p w14:paraId="60ACBE2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做好工业固体废物和生活垃圾的分类收集、转运、综合利用和无害化处理，建立统一的固废收集、贮存、运输、综合利用和安全处置的运营管理体系。规范固体废物处理措施，对工业企业产生固体废物特别是危险固废应按国家有关规定综合利用或妥善处置、严防二次污染。按报告书要求及建议选址建设好园区生活垃圾填埋场和一般工业固废处置场，满足相关规范要求。</w:t>
            </w:r>
          </w:p>
        </w:tc>
        <w:tc>
          <w:tcPr>
            <w:tcW w:w="3409" w:type="dxa"/>
            <w:vAlign w:val="center"/>
          </w:tcPr>
          <w:p w14:paraId="05B559F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园区内各企业工业固废和生活垃圾均按照性质分类存放、转运、综合利用和无害化处理；园区未建立统一的固废收集、贮存、运输、综合利用和安全处置的运营管理体系，园区内固废处置由各企业自行负责，各企业产生的危险固体废物均已按规范设置厂内危废暂存间，并定期委托有资质单位进行处理。园区尚未建设园区生活垃圾填埋场和一般工业固废处置场。</w:t>
            </w:r>
          </w:p>
        </w:tc>
        <w:tc>
          <w:tcPr>
            <w:tcW w:w="762" w:type="dxa"/>
            <w:vAlign w:val="center"/>
          </w:tcPr>
          <w:p w14:paraId="252268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lang w:val="en-US" w:eastAsia="zh-CN"/>
              </w:rPr>
              <w:t>已</w:t>
            </w:r>
            <w:r>
              <w:rPr>
                <w:rFonts w:hint="eastAsia"/>
                <w:sz w:val="24"/>
                <w:szCs w:val="24"/>
              </w:rPr>
              <w:t>落实</w:t>
            </w:r>
          </w:p>
        </w:tc>
      </w:tr>
      <w:tr w14:paraId="0477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717C96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rPr>
              <w:t>6、环境管理</w:t>
            </w:r>
          </w:p>
        </w:tc>
        <w:tc>
          <w:tcPr>
            <w:tcW w:w="3409" w:type="dxa"/>
            <w:vAlign w:val="center"/>
          </w:tcPr>
          <w:p w14:paraId="10682CA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园区要建立专职的环境监督管理机构，建立健全环境风险事故防范措施和应急预案，严防环境风险事故发生。</w:t>
            </w:r>
          </w:p>
        </w:tc>
        <w:tc>
          <w:tcPr>
            <w:tcW w:w="3409" w:type="dxa"/>
            <w:vAlign w:val="center"/>
          </w:tcPr>
          <w:p w14:paraId="2555E87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园区已建立专职的环境监督管理机构，</w:t>
            </w:r>
            <w:r>
              <w:rPr>
                <w:rFonts w:hint="default"/>
                <w:sz w:val="24"/>
                <w:szCs w:val="24"/>
              </w:rPr>
              <w:t>并</w:t>
            </w:r>
            <w:r>
              <w:rPr>
                <w:rFonts w:hint="default"/>
                <w:sz w:val="24"/>
                <w:szCs w:val="24"/>
                <w:lang w:val="en-US" w:eastAsia="zh-CN"/>
              </w:rPr>
              <w:t>于2022年3月修编了</w:t>
            </w:r>
            <w:r>
              <w:rPr>
                <w:rFonts w:hint="default"/>
                <w:sz w:val="24"/>
                <w:szCs w:val="24"/>
              </w:rPr>
              <w:t>突发环境事件应急预案</w:t>
            </w:r>
            <w:r>
              <w:rPr>
                <w:rFonts w:hint="default"/>
                <w:sz w:val="24"/>
                <w:szCs w:val="24"/>
                <w:lang w:val="en-US" w:eastAsia="zh-CN"/>
              </w:rPr>
              <w:t>并备案</w:t>
            </w:r>
            <w:r>
              <w:rPr>
                <w:rFonts w:hint="default"/>
                <w:sz w:val="24"/>
                <w:szCs w:val="24"/>
              </w:rPr>
              <w:t>（备案号为43122</w:t>
            </w:r>
            <w:r>
              <w:rPr>
                <w:rFonts w:hint="default"/>
                <w:sz w:val="24"/>
                <w:szCs w:val="24"/>
                <w:lang w:val="en-US" w:eastAsia="zh-CN"/>
              </w:rPr>
              <w:t>-</w:t>
            </w:r>
            <w:r>
              <w:rPr>
                <w:rFonts w:hint="default"/>
                <w:sz w:val="24"/>
                <w:szCs w:val="24"/>
              </w:rPr>
              <w:t>2</w:t>
            </w:r>
            <w:r>
              <w:rPr>
                <w:rFonts w:hint="default"/>
                <w:sz w:val="24"/>
                <w:szCs w:val="24"/>
                <w:lang w:val="en-US" w:eastAsia="zh-CN"/>
              </w:rPr>
              <w:t>022-04</w:t>
            </w:r>
            <w:r>
              <w:rPr>
                <w:rFonts w:hint="default"/>
                <w:sz w:val="24"/>
                <w:szCs w:val="24"/>
              </w:rPr>
              <w:t>0</w:t>
            </w:r>
            <w:r>
              <w:rPr>
                <w:rFonts w:hint="default"/>
                <w:sz w:val="24"/>
                <w:szCs w:val="24"/>
                <w:lang w:val="en-US" w:eastAsia="zh-CN"/>
              </w:rPr>
              <w:t>-G</w:t>
            </w:r>
            <w:r>
              <w:rPr>
                <w:rFonts w:hint="default"/>
                <w:sz w:val="24"/>
                <w:szCs w:val="24"/>
              </w:rPr>
              <w:t>）</w:t>
            </w:r>
            <w:r>
              <w:rPr>
                <w:rFonts w:hint="default"/>
                <w:sz w:val="24"/>
                <w:szCs w:val="24"/>
                <w:lang w:val="en-US" w:eastAsia="zh-CN"/>
              </w:rPr>
              <w:t>。并与沅陵县环境污染事故应急预案衔接，在事故发生时，可以及时地控制、消除并竟可能将其影响降至最低。</w:t>
            </w:r>
          </w:p>
        </w:tc>
        <w:tc>
          <w:tcPr>
            <w:tcW w:w="762" w:type="dxa"/>
            <w:vAlign w:val="center"/>
          </w:tcPr>
          <w:p w14:paraId="0A8D45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rPr>
              <w:t>已落实</w:t>
            </w:r>
          </w:p>
        </w:tc>
      </w:tr>
      <w:tr w14:paraId="5E7C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391757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rPr>
              <w:t>7、拆迁安置</w:t>
            </w:r>
          </w:p>
        </w:tc>
        <w:tc>
          <w:tcPr>
            <w:tcW w:w="3409" w:type="dxa"/>
            <w:vAlign w:val="center"/>
          </w:tcPr>
          <w:p w14:paraId="4BFE2FE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统筹制定拆迁安置方案，落实移民生产生活安置措施，防止移民再次安置和次生环境问题。</w:t>
            </w:r>
          </w:p>
        </w:tc>
        <w:tc>
          <w:tcPr>
            <w:tcW w:w="3409" w:type="dxa"/>
            <w:vAlign w:val="center"/>
          </w:tcPr>
          <w:p w14:paraId="14AB2F3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已制定拆迁安置方案，园区现设有三个安置点，分别为位于园区西北面的高岩安置点、园区东面的刘家安置点、园区中北面的岩湾安置点，未发生移民再次安置和次生环境问题。</w:t>
            </w:r>
          </w:p>
        </w:tc>
        <w:tc>
          <w:tcPr>
            <w:tcW w:w="762" w:type="dxa"/>
            <w:vAlign w:val="center"/>
          </w:tcPr>
          <w:p w14:paraId="621A66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lang w:val="en-US" w:eastAsia="zh-CN"/>
              </w:rPr>
              <w:t>已</w:t>
            </w:r>
            <w:r>
              <w:rPr>
                <w:rFonts w:hint="eastAsia"/>
                <w:sz w:val="24"/>
                <w:szCs w:val="24"/>
              </w:rPr>
              <w:t>落实</w:t>
            </w:r>
          </w:p>
        </w:tc>
      </w:tr>
      <w:tr w14:paraId="7BCE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4457ED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rPr>
              <w:t>8、做好建设期的生态保护和水土保持工作</w:t>
            </w:r>
          </w:p>
        </w:tc>
        <w:tc>
          <w:tcPr>
            <w:tcW w:w="3409" w:type="dxa"/>
            <w:vAlign w:val="center"/>
          </w:tcPr>
          <w:p w14:paraId="49E52AB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做好建设期的生态保护和水土保持工作，对园区内的高大乔木应采取就地保护或保护性移植措施，土石方开挖、堆存及回填要实施围挡、护坡等措施，裸露地及时恢复植被，防止水土流失。按报告书要求适量保留原有山体植被，保留园区中南部二个主导产业分区之间的西北-东南向山体和紧邻长吉高速公路的山体，提高园区建设的生态适宜度，减轻对常吉高速公路的不利景观影响。</w:t>
            </w:r>
          </w:p>
        </w:tc>
        <w:tc>
          <w:tcPr>
            <w:tcW w:w="3409" w:type="dxa"/>
            <w:vAlign w:val="center"/>
          </w:tcPr>
          <w:p w14:paraId="04895D9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园区现有企业已做好建设期的生态保护和水土保持工作，园区内未存在明显生态破坏和水土流失问题；园区在开发过程中已尽量保留原有山体植被和紧临常吉高速公路的山体。</w:t>
            </w:r>
          </w:p>
        </w:tc>
        <w:tc>
          <w:tcPr>
            <w:tcW w:w="762" w:type="dxa"/>
            <w:vAlign w:val="center"/>
          </w:tcPr>
          <w:p w14:paraId="4F0CC5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lang w:val="en-US" w:eastAsia="zh-CN"/>
              </w:rPr>
              <w:t>已</w:t>
            </w:r>
            <w:r>
              <w:rPr>
                <w:rFonts w:hint="eastAsia"/>
                <w:sz w:val="24"/>
                <w:szCs w:val="24"/>
              </w:rPr>
              <w:t>落实</w:t>
            </w:r>
          </w:p>
        </w:tc>
      </w:tr>
      <w:tr w14:paraId="101F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4B5119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rPr>
              <w:t>9、污染物总量控制</w:t>
            </w:r>
          </w:p>
        </w:tc>
        <w:tc>
          <w:tcPr>
            <w:tcW w:w="3409" w:type="dxa"/>
            <w:vAlign w:val="center"/>
          </w:tcPr>
          <w:p w14:paraId="5D9AB0C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lang w:val="en-US" w:eastAsia="zh-CN"/>
              </w:rPr>
              <w:t>污染物总量控制：COD≤517t/a、SO</w:t>
            </w:r>
            <w:r>
              <w:rPr>
                <w:rFonts w:hint="default"/>
                <w:sz w:val="24"/>
                <w:szCs w:val="24"/>
                <w:vertAlign w:val="subscript"/>
                <w:lang w:val="en-US" w:eastAsia="zh-CN"/>
              </w:rPr>
              <w:t>2</w:t>
            </w:r>
            <w:r>
              <w:rPr>
                <w:rFonts w:hint="default"/>
                <w:sz w:val="24"/>
                <w:szCs w:val="24"/>
                <w:lang w:val="en-US" w:eastAsia="zh-CN"/>
              </w:rPr>
              <w:t>≤200t/a，总量指标纳入当地环保部门总量控制管理。</w:t>
            </w:r>
          </w:p>
        </w:tc>
        <w:tc>
          <w:tcPr>
            <w:tcW w:w="3409" w:type="dxa"/>
            <w:vAlign w:val="center"/>
          </w:tcPr>
          <w:p w14:paraId="764483D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4"/>
                <w:szCs w:val="24"/>
                <w:lang w:val="en-US" w:eastAsia="zh-CN"/>
              </w:rPr>
            </w:pPr>
            <w:r>
              <w:rPr>
                <w:rFonts w:hint="default"/>
                <w:sz w:val="24"/>
                <w:szCs w:val="24"/>
              </w:rPr>
              <w:t>根据</w:t>
            </w:r>
            <w:r>
              <w:rPr>
                <w:rFonts w:hint="default"/>
                <w:sz w:val="24"/>
                <w:szCs w:val="24"/>
                <w:lang w:val="en-US" w:eastAsia="zh-CN"/>
              </w:rPr>
              <w:t>园区</w:t>
            </w:r>
            <w:r>
              <w:rPr>
                <w:rFonts w:hint="eastAsia"/>
                <w:sz w:val="24"/>
                <w:szCs w:val="24"/>
                <w:lang w:val="en-US" w:eastAsia="zh-CN"/>
              </w:rPr>
              <w:t>2024</w:t>
            </w:r>
            <w:r>
              <w:rPr>
                <w:rFonts w:hint="default"/>
                <w:sz w:val="24"/>
                <w:szCs w:val="24"/>
                <w:lang w:val="en-US" w:eastAsia="zh-CN"/>
              </w:rPr>
              <w:t>年</w:t>
            </w:r>
            <w:r>
              <w:rPr>
                <w:rFonts w:hint="default"/>
                <w:sz w:val="24"/>
                <w:szCs w:val="24"/>
              </w:rPr>
              <w:t>主要污染物排放量统计，目前园区各污染物的排放量均远远低于总量控制指标。总量指标已纳入当地环保部门污染物总量控制管理。</w:t>
            </w:r>
          </w:p>
        </w:tc>
        <w:tc>
          <w:tcPr>
            <w:tcW w:w="762" w:type="dxa"/>
            <w:vAlign w:val="center"/>
          </w:tcPr>
          <w:p w14:paraId="7809C4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rPr>
              <w:t>已落实</w:t>
            </w:r>
          </w:p>
        </w:tc>
      </w:tr>
    </w:tbl>
    <w:p w14:paraId="2EBD0875">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default"/>
          <w:b/>
          <w:bCs/>
          <w:lang w:val="en-US" w:eastAsia="zh-CN"/>
        </w:rPr>
      </w:pPr>
      <w:r>
        <w:rPr>
          <w:rFonts w:hint="default"/>
          <w:b/>
          <w:bCs/>
          <w:lang w:val="en-US" w:eastAsia="zh-CN"/>
        </w:rPr>
        <w:t>2、园区跟踪环评要求的年度自行监测计划的落实情况</w:t>
      </w:r>
    </w:p>
    <w:p w14:paraId="35CD2CF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b/>
          <w:bCs/>
          <w:sz w:val="24"/>
          <w:szCs w:val="24"/>
          <w:highlight w:val="none"/>
          <w:lang w:val="en-US" w:eastAsia="zh-CN"/>
        </w:rPr>
      </w:pPr>
      <w:r>
        <w:rPr>
          <w:rFonts w:hint="default" w:ascii="Times New Roman" w:hAnsi="Times New Roman" w:eastAsia="宋体"/>
          <w:b/>
          <w:bCs/>
          <w:sz w:val="24"/>
          <w:szCs w:val="24"/>
          <w:highlight w:val="none"/>
          <w:lang w:val="en-US" w:eastAsia="zh-CN"/>
        </w:rPr>
        <w:t>表2 沅陵产业开发区自行监测计划及落实情况一览表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773"/>
        <w:gridCol w:w="1269"/>
        <w:gridCol w:w="1408"/>
        <w:gridCol w:w="3300"/>
        <w:gridCol w:w="1014"/>
      </w:tblGrid>
      <w:tr w14:paraId="2E15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gridSpan w:val="5"/>
            <w:vAlign w:val="center"/>
          </w:tcPr>
          <w:p w14:paraId="0FCFDA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eastAsia="zh-CN"/>
              </w:rPr>
              <w:t>规划监测情况</w:t>
            </w:r>
          </w:p>
        </w:tc>
        <w:tc>
          <w:tcPr>
            <w:tcW w:w="1014" w:type="dxa"/>
            <w:vMerge w:val="restart"/>
            <w:vAlign w:val="center"/>
          </w:tcPr>
          <w:p w14:paraId="36C025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eastAsia="zh-CN"/>
              </w:rPr>
              <w:t>实际</w:t>
            </w:r>
            <w:r>
              <w:rPr>
                <w:rFonts w:hint="eastAsia" w:ascii="Times New Roman" w:hAnsi="Times New Roman" w:eastAsia="宋体"/>
                <w:b/>
                <w:bCs/>
                <w:sz w:val="24"/>
                <w:szCs w:val="24"/>
              </w:rPr>
              <w:t>落实情况</w:t>
            </w:r>
          </w:p>
        </w:tc>
      </w:tr>
      <w:tr w14:paraId="2E9C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14:paraId="27135A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监测内容</w:t>
            </w:r>
          </w:p>
        </w:tc>
        <w:tc>
          <w:tcPr>
            <w:tcW w:w="2042" w:type="dxa"/>
            <w:gridSpan w:val="2"/>
            <w:vAlign w:val="center"/>
          </w:tcPr>
          <w:p w14:paraId="3340A5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rPr>
              <w:t>监测布点</w:t>
            </w:r>
          </w:p>
        </w:tc>
        <w:tc>
          <w:tcPr>
            <w:tcW w:w="1408" w:type="dxa"/>
            <w:vAlign w:val="center"/>
          </w:tcPr>
          <w:p w14:paraId="2EE64C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eastAsia="zh-CN"/>
              </w:rPr>
              <w:t>监测频次</w:t>
            </w:r>
          </w:p>
        </w:tc>
        <w:tc>
          <w:tcPr>
            <w:tcW w:w="3300" w:type="dxa"/>
            <w:vAlign w:val="center"/>
          </w:tcPr>
          <w:p w14:paraId="4C8A31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rPr>
              <w:t>监测项目</w:t>
            </w:r>
          </w:p>
        </w:tc>
        <w:tc>
          <w:tcPr>
            <w:tcW w:w="1014" w:type="dxa"/>
            <w:vMerge w:val="continue"/>
            <w:vAlign w:val="center"/>
          </w:tcPr>
          <w:p w14:paraId="347BA8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p>
        </w:tc>
      </w:tr>
      <w:tr w14:paraId="7318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restart"/>
            <w:vAlign w:val="center"/>
          </w:tcPr>
          <w:p w14:paraId="603DE1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环境质量监测</w:t>
            </w:r>
          </w:p>
        </w:tc>
        <w:tc>
          <w:tcPr>
            <w:tcW w:w="773" w:type="dxa"/>
            <w:vMerge w:val="restart"/>
            <w:vAlign w:val="center"/>
          </w:tcPr>
          <w:p w14:paraId="681636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环境</w:t>
            </w:r>
          </w:p>
          <w:p w14:paraId="137D0C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空气</w:t>
            </w:r>
          </w:p>
        </w:tc>
        <w:tc>
          <w:tcPr>
            <w:tcW w:w="1269" w:type="dxa"/>
            <w:vAlign w:val="center"/>
          </w:tcPr>
          <w:p w14:paraId="60065A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乌栖村居民点</w:t>
            </w:r>
          </w:p>
        </w:tc>
        <w:tc>
          <w:tcPr>
            <w:tcW w:w="1408" w:type="dxa"/>
            <w:vMerge w:val="restart"/>
            <w:vAlign w:val="center"/>
          </w:tcPr>
          <w:p w14:paraId="178996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rPr>
              <w:t>每季</w:t>
            </w:r>
            <w:r>
              <w:rPr>
                <w:rFonts w:hint="eastAsia" w:ascii="Times New Roman" w:hAnsi="Times New Roman" w:eastAsia="宋体"/>
                <w:sz w:val="24"/>
                <w:szCs w:val="24"/>
                <w:lang w:val="en-US" w:eastAsia="zh-CN"/>
              </w:rPr>
              <w:t>1</w:t>
            </w:r>
            <w:r>
              <w:rPr>
                <w:rFonts w:hint="eastAsia" w:ascii="Times New Roman" w:hAnsi="Times New Roman" w:eastAsia="宋体"/>
                <w:sz w:val="24"/>
                <w:szCs w:val="24"/>
              </w:rPr>
              <w:t>次，每次连续监测</w:t>
            </w:r>
            <w:r>
              <w:rPr>
                <w:rFonts w:hint="eastAsia" w:ascii="Times New Roman" w:hAnsi="Times New Roman" w:eastAsia="宋体"/>
                <w:sz w:val="24"/>
                <w:szCs w:val="24"/>
                <w:lang w:val="en-US" w:eastAsia="zh-CN"/>
              </w:rPr>
              <w:t>7</w:t>
            </w:r>
            <w:r>
              <w:rPr>
                <w:rFonts w:hint="eastAsia" w:ascii="Times New Roman" w:hAnsi="Times New Roman" w:eastAsia="宋体"/>
                <w:sz w:val="24"/>
                <w:szCs w:val="24"/>
                <w:lang w:eastAsia="zh-CN"/>
              </w:rPr>
              <w:t>天</w:t>
            </w:r>
          </w:p>
        </w:tc>
        <w:tc>
          <w:tcPr>
            <w:tcW w:w="3300" w:type="dxa"/>
            <w:vMerge w:val="restart"/>
            <w:vAlign w:val="center"/>
          </w:tcPr>
          <w:p w14:paraId="4FB6F0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rPr>
              <w:t>SO</w:t>
            </w:r>
            <w:r>
              <w:rPr>
                <w:rFonts w:hint="eastAsia" w:ascii="Times New Roman" w:hAnsi="Times New Roman" w:eastAsia="宋体"/>
                <w:sz w:val="24"/>
                <w:szCs w:val="24"/>
                <w:vertAlign w:val="subscript"/>
              </w:rPr>
              <w:t>2</w:t>
            </w:r>
            <w:r>
              <w:rPr>
                <w:rFonts w:hint="eastAsia" w:ascii="Times New Roman" w:hAnsi="Times New Roman" w:eastAsia="宋体"/>
                <w:sz w:val="24"/>
                <w:szCs w:val="24"/>
              </w:rPr>
              <w:t>、NO</w:t>
            </w:r>
            <w:r>
              <w:rPr>
                <w:rFonts w:hint="eastAsia" w:ascii="Times New Roman" w:hAnsi="Times New Roman" w:eastAsia="宋体"/>
                <w:sz w:val="24"/>
                <w:szCs w:val="24"/>
                <w:vertAlign w:val="subscript"/>
              </w:rPr>
              <w:t>2</w:t>
            </w:r>
            <w:r>
              <w:rPr>
                <w:rFonts w:hint="eastAsia" w:ascii="Times New Roman" w:hAnsi="Times New Roman" w:eastAsia="宋体"/>
                <w:sz w:val="24"/>
                <w:szCs w:val="24"/>
              </w:rPr>
              <w:t>、TSP</w:t>
            </w: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PM</w:t>
            </w:r>
            <w:r>
              <w:rPr>
                <w:rFonts w:hint="eastAsia" w:ascii="Times New Roman" w:hAnsi="Times New Roman" w:eastAsia="宋体"/>
                <w:sz w:val="24"/>
                <w:szCs w:val="24"/>
                <w:vertAlign w:val="subscript"/>
                <w:lang w:val="en-US" w:eastAsia="zh-CN"/>
              </w:rPr>
              <w:t>10</w:t>
            </w: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PM</w:t>
            </w:r>
            <w:r>
              <w:rPr>
                <w:rFonts w:hint="eastAsia" w:ascii="Times New Roman" w:hAnsi="Times New Roman" w:eastAsia="宋体"/>
                <w:sz w:val="24"/>
                <w:szCs w:val="24"/>
                <w:vertAlign w:val="subscript"/>
                <w:lang w:val="en-US" w:eastAsia="zh-CN"/>
              </w:rPr>
              <w:t>2.5</w:t>
            </w:r>
            <w:r>
              <w:rPr>
                <w:rFonts w:hint="eastAsia" w:ascii="Times New Roman" w:hAnsi="Times New Roman" w:eastAsia="宋体"/>
                <w:sz w:val="24"/>
                <w:szCs w:val="24"/>
                <w:lang w:val="en-US" w:eastAsia="zh-CN"/>
              </w:rPr>
              <w:t>、TVOC</w:t>
            </w:r>
          </w:p>
        </w:tc>
        <w:tc>
          <w:tcPr>
            <w:tcW w:w="1014" w:type="dxa"/>
            <w:vMerge w:val="restart"/>
            <w:vAlign w:val="center"/>
          </w:tcPr>
          <w:p w14:paraId="12C72D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已按照监测计划监测，并在政府网站进行了公示</w:t>
            </w:r>
          </w:p>
        </w:tc>
      </w:tr>
      <w:tr w14:paraId="2426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14:paraId="4AFE02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773" w:type="dxa"/>
            <w:vMerge w:val="continue"/>
            <w:vAlign w:val="center"/>
          </w:tcPr>
          <w:p w14:paraId="4A5EB5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269" w:type="dxa"/>
            <w:vAlign w:val="center"/>
          </w:tcPr>
          <w:p w14:paraId="61C91E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松山边居民点</w:t>
            </w:r>
          </w:p>
        </w:tc>
        <w:tc>
          <w:tcPr>
            <w:tcW w:w="1408" w:type="dxa"/>
            <w:vMerge w:val="continue"/>
            <w:vAlign w:val="center"/>
          </w:tcPr>
          <w:p w14:paraId="3844DE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3300" w:type="dxa"/>
            <w:vMerge w:val="continue"/>
            <w:vAlign w:val="center"/>
          </w:tcPr>
          <w:p w14:paraId="51203C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014" w:type="dxa"/>
            <w:vMerge w:val="continue"/>
            <w:vAlign w:val="center"/>
          </w:tcPr>
          <w:p w14:paraId="68E158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r>
      <w:tr w14:paraId="4E29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14:paraId="23E8C0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773" w:type="dxa"/>
            <w:vMerge w:val="continue"/>
            <w:vAlign w:val="center"/>
          </w:tcPr>
          <w:p w14:paraId="213FFA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269" w:type="dxa"/>
            <w:vAlign w:val="center"/>
          </w:tcPr>
          <w:p w14:paraId="763D5F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欧家湾居民点</w:t>
            </w:r>
          </w:p>
        </w:tc>
        <w:tc>
          <w:tcPr>
            <w:tcW w:w="1408" w:type="dxa"/>
            <w:vMerge w:val="continue"/>
            <w:vAlign w:val="center"/>
          </w:tcPr>
          <w:p w14:paraId="0BF56E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3300" w:type="dxa"/>
            <w:vMerge w:val="continue"/>
            <w:vAlign w:val="center"/>
          </w:tcPr>
          <w:p w14:paraId="16A44A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014" w:type="dxa"/>
            <w:vMerge w:val="continue"/>
            <w:vAlign w:val="center"/>
          </w:tcPr>
          <w:p w14:paraId="78D889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r>
      <w:tr w14:paraId="63FE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14:paraId="2F64AC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773" w:type="dxa"/>
            <w:vMerge w:val="restart"/>
            <w:vAlign w:val="center"/>
          </w:tcPr>
          <w:p w14:paraId="6FA527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rPr>
              <w:t>地表水</w:t>
            </w:r>
          </w:p>
        </w:tc>
        <w:tc>
          <w:tcPr>
            <w:tcW w:w="1269" w:type="dxa"/>
            <w:vAlign w:val="center"/>
          </w:tcPr>
          <w:p w14:paraId="7F1550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蓝溪河松山边大桥断面</w:t>
            </w:r>
          </w:p>
        </w:tc>
        <w:tc>
          <w:tcPr>
            <w:tcW w:w="1408" w:type="dxa"/>
            <w:vMerge w:val="restart"/>
            <w:vAlign w:val="center"/>
          </w:tcPr>
          <w:p w14:paraId="4B014F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w:t>
            </w:r>
            <w:r>
              <w:rPr>
                <w:rFonts w:hint="eastAsia" w:ascii="Times New Roman" w:hAnsi="Times New Roman" w:eastAsia="宋体"/>
                <w:sz w:val="24"/>
                <w:szCs w:val="24"/>
              </w:rPr>
              <w:t>次</w:t>
            </w:r>
            <w:r>
              <w:rPr>
                <w:rFonts w:hint="eastAsia" w:ascii="Times New Roman" w:hAnsi="Times New Roman" w:eastAsia="宋体"/>
                <w:sz w:val="24"/>
                <w:szCs w:val="24"/>
                <w:lang w:val="en-US" w:eastAsia="zh-CN"/>
              </w:rPr>
              <w:t>/每季</w:t>
            </w:r>
            <w:r>
              <w:rPr>
                <w:rFonts w:hint="eastAsia" w:ascii="Times New Roman" w:hAnsi="Times New Roman" w:eastAsia="宋体"/>
                <w:sz w:val="24"/>
                <w:szCs w:val="24"/>
              </w:rPr>
              <w:t>，每次连续</w:t>
            </w:r>
            <w:r>
              <w:rPr>
                <w:rFonts w:hint="eastAsia" w:ascii="Times New Roman" w:hAnsi="Times New Roman" w:eastAsia="宋体"/>
                <w:sz w:val="24"/>
                <w:szCs w:val="24"/>
                <w:lang w:val="en-US" w:eastAsia="zh-CN"/>
              </w:rPr>
              <w:t>监测</w:t>
            </w:r>
            <w:r>
              <w:rPr>
                <w:rFonts w:hint="eastAsia" w:ascii="Times New Roman" w:hAnsi="Times New Roman" w:eastAsia="宋体"/>
                <w:sz w:val="24"/>
                <w:szCs w:val="24"/>
              </w:rPr>
              <w:t>3天</w:t>
            </w:r>
          </w:p>
        </w:tc>
        <w:tc>
          <w:tcPr>
            <w:tcW w:w="3300" w:type="dxa"/>
            <w:vMerge w:val="restart"/>
            <w:vAlign w:val="center"/>
          </w:tcPr>
          <w:p w14:paraId="03D559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rPr>
              <w:t>水温、pH、SS、DO、CODcr、BOD</w:t>
            </w:r>
            <w:r>
              <w:rPr>
                <w:rFonts w:hint="eastAsia" w:ascii="Times New Roman" w:hAnsi="Times New Roman" w:eastAsia="宋体"/>
                <w:sz w:val="24"/>
                <w:szCs w:val="24"/>
                <w:vertAlign w:val="subscript"/>
              </w:rPr>
              <w:t>5</w:t>
            </w:r>
            <w:r>
              <w:rPr>
                <w:rFonts w:hint="eastAsia" w:ascii="Times New Roman" w:hAnsi="Times New Roman" w:eastAsia="宋体"/>
                <w:sz w:val="24"/>
                <w:szCs w:val="24"/>
              </w:rPr>
              <w:t>、挥发酚、氨氮、总磷、总氮、硫化物、氟化物、 氰化物、石油类、动植物油、阴离子表面活性剂、粪大肠菌群、Cu、Zn、Pb、As、Cd、Cr</w:t>
            </w:r>
            <w:r>
              <w:rPr>
                <w:rFonts w:hint="eastAsia" w:ascii="Times New Roman" w:hAnsi="Times New Roman" w:eastAsia="宋体"/>
                <w:sz w:val="24"/>
                <w:szCs w:val="24"/>
                <w:vertAlign w:val="superscript"/>
              </w:rPr>
              <w:t>6+</w:t>
            </w:r>
            <w:r>
              <w:rPr>
                <w:rFonts w:hint="eastAsia" w:ascii="Times New Roman" w:hAnsi="Times New Roman" w:eastAsia="宋体"/>
                <w:sz w:val="24"/>
                <w:szCs w:val="24"/>
              </w:rPr>
              <w:t>、Hg</w:t>
            </w:r>
          </w:p>
        </w:tc>
        <w:tc>
          <w:tcPr>
            <w:tcW w:w="1014" w:type="dxa"/>
            <w:vMerge w:val="continue"/>
            <w:vAlign w:val="center"/>
          </w:tcPr>
          <w:p w14:paraId="66C996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r>
      <w:tr w14:paraId="4D8E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14:paraId="6D0F59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773" w:type="dxa"/>
            <w:vMerge w:val="continue"/>
            <w:vAlign w:val="center"/>
          </w:tcPr>
          <w:p w14:paraId="7B6D44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269" w:type="dxa"/>
            <w:vAlign w:val="center"/>
          </w:tcPr>
          <w:p w14:paraId="041616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蓝溪河丁家断面</w:t>
            </w:r>
          </w:p>
        </w:tc>
        <w:tc>
          <w:tcPr>
            <w:tcW w:w="1408" w:type="dxa"/>
            <w:vMerge w:val="continue"/>
            <w:vAlign w:val="center"/>
          </w:tcPr>
          <w:p w14:paraId="593740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3300" w:type="dxa"/>
            <w:vMerge w:val="continue"/>
            <w:vAlign w:val="center"/>
          </w:tcPr>
          <w:p w14:paraId="27DD6E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014" w:type="dxa"/>
            <w:vMerge w:val="continue"/>
            <w:vAlign w:val="center"/>
          </w:tcPr>
          <w:p w14:paraId="50F916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r>
      <w:tr w14:paraId="7FEB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14:paraId="648EA1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773" w:type="dxa"/>
            <w:vMerge w:val="continue"/>
            <w:vAlign w:val="center"/>
          </w:tcPr>
          <w:p w14:paraId="51B4F3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269" w:type="dxa"/>
            <w:vAlign w:val="center"/>
          </w:tcPr>
          <w:p w14:paraId="55BA58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蓝溪河蓝溪口断面</w:t>
            </w:r>
          </w:p>
        </w:tc>
        <w:tc>
          <w:tcPr>
            <w:tcW w:w="1408" w:type="dxa"/>
            <w:vMerge w:val="continue"/>
            <w:vAlign w:val="center"/>
          </w:tcPr>
          <w:p w14:paraId="7D793C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3300" w:type="dxa"/>
            <w:vMerge w:val="continue"/>
            <w:vAlign w:val="center"/>
          </w:tcPr>
          <w:p w14:paraId="51A0AD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014" w:type="dxa"/>
            <w:vMerge w:val="continue"/>
            <w:vAlign w:val="center"/>
          </w:tcPr>
          <w:p w14:paraId="0A7683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r>
      <w:tr w14:paraId="475C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14:paraId="10E2DC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773" w:type="dxa"/>
            <w:vMerge w:val="restart"/>
            <w:vAlign w:val="center"/>
          </w:tcPr>
          <w:p w14:paraId="0A5846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rPr>
              <w:t>地下水</w:t>
            </w:r>
          </w:p>
        </w:tc>
        <w:tc>
          <w:tcPr>
            <w:tcW w:w="1269" w:type="dxa"/>
            <w:vAlign w:val="center"/>
          </w:tcPr>
          <w:p w14:paraId="113C24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松山边居民点水井</w:t>
            </w:r>
          </w:p>
        </w:tc>
        <w:tc>
          <w:tcPr>
            <w:tcW w:w="1408" w:type="dxa"/>
            <w:vMerge w:val="restart"/>
            <w:vAlign w:val="center"/>
          </w:tcPr>
          <w:p w14:paraId="1AE4FD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2次/年，每次连续监测2天</w:t>
            </w:r>
          </w:p>
        </w:tc>
        <w:tc>
          <w:tcPr>
            <w:tcW w:w="3300" w:type="dxa"/>
            <w:vMerge w:val="restart"/>
            <w:vAlign w:val="center"/>
          </w:tcPr>
          <w:p w14:paraId="0C41EE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pH、CODmn、总硬度、溶解性总固体、硝酸盐、氨氮、硫化物、挥发酚、氟化物、氰化物、铅、镉、砷、汞、Cr</w:t>
            </w:r>
            <w:r>
              <w:rPr>
                <w:rFonts w:hint="eastAsia" w:ascii="Times New Roman" w:hAnsi="Times New Roman" w:eastAsia="宋体"/>
                <w:sz w:val="24"/>
                <w:szCs w:val="24"/>
                <w:vertAlign w:val="superscript"/>
                <w:lang w:val="en-US" w:eastAsia="zh-CN"/>
              </w:rPr>
              <w:t>6+</w:t>
            </w:r>
            <w:r>
              <w:rPr>
                <w:rFonts w:hint="eastAsia" w:ascii="Times New Roman" w:hAnsi="Times New Roman" w:eastAsia="宋体"/>
                <w:sz w:val="24"/>
                <w:szCs w:val="24"/>
                <w:lang w:val="en-US" w:eastAsia="zh-CN"/>
              </w:rPr>
              <w:t>、粪大肠菌群</w:t>
            </w:r>
          </w:p>
        </w:tc>
        <w:tc>
          <w:tcPr>
            <w:tcW w:w="1014" w:type="dxa"/>
            <w:vMerge w:val="continue"/>
            <w:vAlign w:val="center"/>
          </w:tcPr>
          <w:p w14:paraId="0F1B58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r>
      <w:tr w14:paraId="445E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14:paraId="21E979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773" w:type="dxa"/>
            <w:vMerge w:val="continue"/>
            <w:vAlign w:val="center"/>
          </w:tcPr>
          <w:p w14:paraId="1923EF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269" w:type="dxa"/>
            <w:vAlign w:val="center"/>
          </w:tcPr>
          <w:p w14:paraId="01310D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欧家湾居民点水井</w:t>
            </w:r>
          </w:p>
        </w:tc>
        <w:tc>
          <w:tcPr>
            <w:tcW w:w="1408" w:type="dxa"/>
            <w:vMerge w:val="continue"/>
            <w:vAlign w:val="center"/>
          </w:tcPr>
          <w:p w14:paraId="356B9D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3300" w:type="dxa"/>
            <w:vMerge w:val="continue"/>
            <w:vAlign w:val="center"/>
          </w:tcPr>
          <w:p w14:paraId="750C35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014" w:type="dxa"/>
            <w:vMerge w:val="continue"/>
            <w:vAlign w:val="center"/>
          </w:tcPr>
          <w:p w14:paraId="59C74B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r>
      <w:tr w14:paraId="71A4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14:paraId="1F83D3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773" w:type="dxa"/>
            <w:vMerge w:val="continue"/>
            <w:vAlign w:val="center"/>
          </w:tcPr>
          <w:p w14:paraId="5D2F8F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269" w:type="dxa"/>
            <w:vAlign w:val="center"/>
          </w:tcPr>
          <w:p w14:paraId="3F5B47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蒋家湾居民点水井</w:t>
            </w:r>
          </w:p>
        </w:tc>
        <w:tc>
          <w:tcPr>
            <w:tcW w:w="1408" w:type="dxa"/>
            <w:vMerge w:val="continue"/>
            <w:vAlign w:val="center"/>
          </w:tcPr>
          <w:p w14:paraId="0B6768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3300" w:type="dxa"/>
            <w:vMerge w:val="continue"/>
            <w:vAlign w:val="center"/>
          </w:tcPr>
          <w:p w14:paraId="1F7E8D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014" w:type="dxa"/>
            <w:vMerge w:val="continue"/>
            <w:vAlign w:val="center"/>
          </w:tcPr>
          <w:p w14:paraId="565CA7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r>
      <w:tr w14:paraId="3D15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14:paraId="5514BE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773" w:type="dxa"/>
            <w:vMerge w:val="restart"/>
            <w:vAlign w:val="center"/>
          </w:tcPr>
          <w:p w14:paraId="42B7EC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土壤</w:t>
            </w:r>
          </w:p>
        </w:tc>
        <w:tc>
          <w:tcPr>
            <w:tcW w:w="1269" w:type="dxa"/>
            <w:vAlign w:val="center"/>
          </w:tcPr>
          <w:p w14:paraId="05F681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园区内北部</w:t>
            </w:r>
          </w:p>
        </w:tc>
        <w:tc>
          <w:tcPr>
            <w:tcW w:w="1408" w:type="dxa"/>
            <w:vMerge w:val="restart"/>
            <w:vAlign w:val="center"/>
          </w:tcPr>
          <w:p w14:paraId="420F08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每年监测1天，取样1次</w:t>
            </w:r>
          </w:p>
        </w:tc>
        <w:tc>
          <w:tcPr>
            <w:tcW w:w="3300" w:type="dxa"/>
            <w:vMerge w:val="restart"/>
            <w:vAlign w:val="center"/>
          </w:tcPr>
          <w:p w14:paraId="5DBA4A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Cu、Pb、Cd、Hg、As、Ni、</w:t>
            </w:r>
            <w:r>
              <w:rPr>
                <w:rFonts w:hint="eastAsia" w:ascii="Times New Roman" w:hAnsi="Times New Roman" w:eastAsia="宋体"/>
                <w:sz w:val="24"/>
                <w:szCs w:val="24"/>
              </w:rPr>
              <w:t>Cr</w:t>
            </w:r>
            <w:r>
              <w:rPr>
                <w:rFonts w:hint="eastAsia" w:ascii="Times New Roman" w:hAnsi="Times New Roman" w:eastAsia="宋体"/>
                <w:sz w:val="24"/>
                <w:szCs w:val="24"/>
                <w:vertAlign w:val="superscript"/>
              </w:rPr>
              <w:t>6+</w:t>
            </w:r>
            <w:r>
              <w:rPr>
                <w:rFonts w:hint="eastAsia" w:ascii="Times New Roman" w:hAnsi="Times New Roman" w:eastAsia="宋体"/>
                <w:sz w:val="24"/>
                <w:szCs w:val="24"/>
                <w:lang w:val="en-US" w:eastAsia="zh-CN"/>
              </w:rPr>
              <w:t>、四氯化碳、氯仿、氯甲烷、1,1-二氯乙烷、1,2-二氯乙烷、1,1-二氯乙烯、顺-1,2-二氯乙烯、反-1,2-二氯乙烯、二氯乙烷、1,2-二氯丙烷、1,1,1,2-四氯乙烷、1,1,2,2-四氯乙烷、四氯乙烷、1,1,1-三氯乙烷、1,1,2-三氯乙烷、三氯乙烯、1,2,3-三氯丙烷、氯乙烯、氯苯、1,1-二氯苯、1,4-二氯苯、乙苯、苯乙烯、甲苯、间二甲苯+对二甲苯、邻二甲苯、硝基苯、苯胺、2-氯酚、苯并[a]蒽、苯并[a]芘、苯并[b]荧蒽、苯并[k]荧蒽、䓛、二苯并[a,h]蒽、茚并[1,2,3-cd]芘、萘、石油烃类共计45项</w:t>
            </w:r>
          </w:p>
        </w:tc>
        <w:tc>
          <w:tcPr>
            <w:tcW w:w="1014" w:type="dxa"/>
            <w:vMerge w:val="continue"/>
            <w:vAlign w:val="center"/>
          </w:tcPr>
          <w:p w14:paraId="2A8502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r>
      <w:tr w14:paraId="0B7C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14:paraId="24CA95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773" w:type="dxa"/>
            <w:vMerge w:val="continue"/>
            <w:vAlign w:val="center"/>
          </w:tcPr>
          <w:p w14:paraId="60030E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269" w:type="dxa"/>
            <w:vAlign w:val="center"/>
          </w:tcPr>
          <w:p w14:paraId="7AFC62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园区污水处理厂附近</w:t>
            </w:r>
          </w:p>
        </w:tc>
        <w:tc>
          <w:tcPr>
            <w:tcW w:w="1408" w:type="dxa"/>
            <w:vMerge w:val="continue"/>
            <w:vAlign w:val="center"/>
          </w:tcPr>
          <w:p w14:paraId="503D4C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3300" w:type="dxa"/>
            <w:vMerge w:val="continue"/>
            <w:vAlign w:val="center"/>
          </w:tcPr>
          <w:p w14:paraId="19A0FD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014" w:type="dxa"/>
            <w:vMerge w:val="continue"/>
            <w:vAlign w:val="center"/>
          </w:tcPr>
          <w:p w14:paraId="1AB170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r>
      <w:tr w14:paraId="1DE3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14:paraId="65888E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773" w:type="dxa"/>
            <w:vMerge w:val="continue"/>
            <w:vAlign w:val="center"/>
          </w:tcPr>
          <w:p w14:paraId="248DCD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269" w:type="dxa"/>
            <w:vAlign w:val="center"/>
          </w:tcPr>
          <w:p w14:paraId="68647B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园区内南部</w:t>
            </w:r>
          </w:p>
        </w:tc>
        <w:tc>
          <w:tcPr>
            <w:tcW w:w="1408" w:type="dxa"/>
            <w:vMerge w:val="continue"/>
            <w:vAlign w:val="center"/>
          </w:tcPr>
          <w:p w14:paraId="49F109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3300" w:type="dxa"/>
            <w:vMerge w:val="continue"/>
            <w:vAlign w:val="center"/>
          </w:tcPr>
          <w:p w14:paraId="013691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014" w:type="dxa"/>
            <w:vMerge w:val="continue"/>
            <w:vAlign w:val="center"/>
          </w:tcPr>
          <w:p w14:paraId="3EAD8E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r>
      <w:tr w14:paraId="17C5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14:paraId="7D7682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773" w:type="dxa"/>
            <w:vMerge w:val="restart"/>
            <w:vAlign w:val="center"/>
          </w:tcPr>
          <w:p w14:paraId="04DDCE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底泥</w:t>
            </w:r>
          </w:p>
        </w:tc>
        <w:tc>
          <w:tcPr>
            <w:tcW w:w="1269" w:type="dxa"/>
            <w:vAlign w:val="center"/>
          </w:tcPr>
          <w:p w14:paraId="15F516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蓝溪河松山边大桥断面</w:t>
            </w:r>
          </w:p>
        </w:tc>
        <w:tc>
          <w:tcPr>
            <w:tcW w:w="1408" w:type="dxa"/>
            <w:vMerge w:val="restart"/>
            <w:vAlign w:val="center"/>
          </w:tcPr>
          <w:p w14:paraId="23B76E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每年监测1天，取样1次</w:t>
            </w:r>
          </w:p>
        </w:tc>
        <w:tc>
          <w:tcPr>
            <w:tcW w:w="3300" w:type="dxa"/>
            <w:vMerge w:val="restart"/>
            <w:vAlign w:val="center"/>
          </w:tcPr>
          <w:p w14:paraId="081A7F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Cu、Pb、Cd、Hg、As、Ni、Cr</w:t>
            </w:r>
            <w:r>
              <w:rPr>
                <w:rFonts w:hint="eastAsia" w:ascii="Times New Roman" w:hAnsi="Times New Roman" w:eastAsia="宋体"/>
                <w:sz w:val="24"/>
                <w:szCs w:val="24"/>
                <w:vertAlign w:val="superscript"/>
                <w:lang w:val="en-US" w:eastAsia="zh-CN"/>
              </w:rPr>
              <w:t>6+</w:t>
            </w:r>
          </w:p>
        </w:tc>
        <w:tc>
          <w:tcPr>
            <w:tcW w:w="1014" w:type="dxa"/>
            <w:vMerge w:val="continue"/>
            <w:vAlign w:val="center"/>
          </w:tcPr>
          <w:p w14:paraId="4C93B6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r>
      <w:tr w14:paraId="0BA7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14:paraId="2D3CC8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773" w:type="dxa"/>
            <w:vMerge w:val="continue"/>
            <w:vAlign w:val="center"/>
          </w:tcPr>
          <w:p w14:paraId="3F38A4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269" w:type="dxa"/>
            <w:vAlign w:val="center"/>
          </w:tcPr>
          <w:p w14:paraId="25573B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蓝溪河丁家断面</w:t>
            </w:r>
          </w:p>
        </w:tc>
        <w:tc>
          <w:tcPr>
            <w:tcW w:w="1408" w:type="dxa"/>
            <w:vMerge w:val="continue"/>
            <w:vAlign w:val="center"/>
          </w:tcPr>
          <w:p w14:paraId="2AB91D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3300" w:type="dxa"/>
            <w:vMerge w:val="continue"/>
            <w:vAlign w:val="center"/>
          </w:tcPr>
          <w:p w14:paraId="3624CA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014" w:type="dxa"/>
            <w:vMerge w:val="continue"/>
            <w:vAlign w:val="center"/>
          </w:tcPr>
          <w:p w14:paraId="49B752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r>
      <w:tr w14:paraId="47D6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14:paraId="44613A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773" w:type="dxa"/>
            <w:vMerge w:val="continue"/>
            <w:vAlign w:val="center"/>
          </w:tcPr>
          <w:p w14:paraId="503256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269" w:type="dxa"/>
            <w:vAlign w:val="center"/>
          </w:tcPr>
          <w:p w14:paraId="1D36A1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蓝溪河蓝溪口断面</w:t>
            </w:r>
          </w:p>
        </w:tc>
        <w:tc>
          <w:tcPr>
            <w:tcW w:w="1408" w:type="dxa"/>
            <w:vMerge w:val="continue"/>
            <w:vAlign w:val="center"/>
          </w:tcPr>
          <w:p w14:paraId="04DD6D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3300" w:type="dxa"/>
            <w:vMerge w:val="continue"/>
            <w:vAlign w:val="center"/>
          </w:tcPr>
          <w:p w14:paraId="4B5640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1014" w:type="dxa"/>
            <w:vMerge w:val="continue"/>
            <w:vAlign w:val="center"/>
          </w:tcPr>
          <w:p w14:paraId="4CAA1C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r>
      <w:tr w14:paraId="72A6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14:paraId="643CEE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c>
          <w:tcPr>
            <w:tcW w:w="773" w:type="dxa"/>
            <w:vAlign w:val="center"/>
          </w:tcPr>
          <w:p w14:paraId="318E36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rPr>
              <w:t>噪声</w:t>
            </w:r>
          </w:p>
        </w:tc>
        <w:tc>
          <w:tcPr>
            <w:tcW w:w="1269" w:type="dxa"/>
            <w:vAlign w:val="center"/>
          </w:tcPr>
          <w:p w14:paraId="78CA73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园区边界</w:t>
            </w:r>
          </w:p>
        </w:tc>
        <w:tc>
          <w:tcPr>
            <w:tcW w:w="1408" w:type="dxa"/>
            <w:vAlign w:val="center"/>
          </w:tcPr>
          <w:p w14:paraId="15767B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每半年一次，每次2天，分昼夜进行</w:t>
            </w:r>
          </w:p>
        </w:tc>
        <w:tc>
          <w:tcPr>
            <w:tcW w:w="3300" w:type="dxa"/>
            <w:vAlign w:val="center"/>
          </w:tcPr>
          <w:p w14:paraId="4CF6C5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等效连续A声级</w:t>
            </w:r>
          </w:p>
        </w:tc>
        <w:tc>
          <w:tcPr>
            <w:tcW w:w="1014" w:type="dxa"/>
            <w:vMerge w:val="continue"/>
            <w:vAlign w:val="center"/>
          </w:tcPr>
          <w:p w14:paraId="45DC9E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p>
        </w:tc>
      </w:tr>
    </w:tbl>
    <w:p w14:paraId="1AF6981D">
      <w:pPr>
        <w:bidi w:val="0"/>
        <w:rPr>
          <w:rFonts w:hint="default"/>
          <w:highlight w:val="none"/>
          <w:lang w:val="en-US" w:eastAsia="zh-CN"/>
        </w:rPr>
      </w:pPr>
      <w:r>
        <w:rPr>
          <w:rFonts w:hint="default"/>
          <w:highlight w:val="none"/>
          <w:lang w:val="en-US" w:eastAsia="zh-CN"/>
        </w:rPr>
        <w:t>环境空气：根据沅陵产业开发区建设的空气小微站</w:t>
      </w:r>
      <w:r>
        <w:rPr>
          <w:rFonts w:hint="eastAsia"/>
          <w:highlight w:val="none"/>
          <w:lang w:val="en-US" w:eastAsia="zh-CN"/>
        </w:rPr>
        <w:t>2024</w:t>
      </w:r>
      <w:r>
        <w:rPr>
          <w:rFonts w:hint="default"/>
          <w:highlight w:val="none"/>
          <w:lang w:val="en-US" w:eastAsia="zh-CN"/>
        </w:rPr>
        <w:t>年度自动运维报告，沅陵产业开发区微站更新传输平台后共计运行</w:t>
      </w:r>
      <w:r>
        <w:rPr>
          <w:rFonts w:hint="eastAsia"/>
          <w:highlight w:val="none"/>
          <w:lang w:val="en-US" w:eastAsia="zh-CN"/>
        </w:rPr>
        <w:t>305</w:t>
      </w:r>
      <w:r>
        <w:rPr>
          <w:rFonts w:hint="default"/>
          <w:highlight w:val="none"/>
          <w:lang w:val="en-US" w:eastAsia="zh-CN"/>
        </w:rPr>
        <w:t>天，</w:t>
      </w:r>
      <w:r>
        <w:rPr>
          <w:rFonts w:hint="eastAsia"/>
          <w:highlight w:val="none"/>
          <w:lang w:val="en-US" w:eastAsia="zh-CN"/>
        </w:rPr>
        <w:t>305</w:t>
      </w:r>
      <w:r>
        <w:rPr>
          <w:rFonts w:hint="default"/>
          <w:highlight w:val="none"/>
          <w:lang w:val="en-US" w:eastAsia="zh-CN"/>
        </w:rPr>
        <w:t>天传输数据。其中空气质量为优的天数为</w:t>
      </w:r>
      <w:r>
        <w:rPr>
          <w:rFonts w:hint="eastAsia"/>
          <w:highlight w:val="none"/>
          <w:lang w:val="en-US" w:eastAsia="zh-CN"/>
        </w:rPr>
        <w:t>208</w:t>
      </w:r>
      <w:r>
        <w:rPr>
          <w:rFonts w:hint="default"/>
          <w:highlight w:val="none"/>
          <w:lang w:val="en-US" w:eastAsia="zh-CN"/>
        </w:rPr>
        <w:t>天，其中空气质量为良的天数为</w:t>
      </w:r>
      <w:r>
        <w:rPr>
          <w:rFonts w:hint="eastAsia"/>
          <w:highlight w:val="none"/>
          <w:lang w:val="en-US" w:eastAsia="zh-CN"/>
        </w:rPr>
        <w:t>67</w:t>
      </w:r>
      <w:r>
        <w:rPr>
          <w:rFonts w:hint="default"/>
          <w:highlight w:val="none"/>
          <w:lang w:val="en-US" w:eastAsia="zh-CN"/>
        </w:rPr>
        <w:t>天，空气优良率为</w:t>
      </w:r>
      <w:r>
        <w:rPr>
          <w:rFonts w:hint="eastAsia"/>
          <w:highlight w:val="none"/>
          <w:lang w:val="en-US" w:eastAsia="zh-CN"/>
        </w:rPr>
        <w:t>97.37</w:t>
      </w:r>
      <w:r>
        <w:rPr>
          <w:rFonts w:hint="default"/>
          <w:highlight w:val="none"/>
          <w:lang w:val="en-US" w:eastAsia="zh-CN"/>
        </w:rPr>
        <w:t>%，监测数据能稳定上传怀化市环境监测信息平台。且根据园区环境质量季度监测报告，</w:t>
      </w:r>
      <w:r>
        <w:rPr>
          <w:rFonts w:hint="eastAsia"/>
          <w:highlight w:val="none"/>
          <w:lang w:val="en-US" w:eastAsia="zh-CN"/>
        </w:rPr>
        <w:t>2024</w:t>
      </w:r>
      <w:r>
        <w:rPr>
          <w:rFonts w:hint="default"/>
          <w:highlight w:val="none"/>
          <w:lang w:val="en-US" w:eastAsia="zh-CN"/>
        </w:rPr>
        <w:t>年度，园区环境空气满足相关环境空气质量标准，园区环境空气达标率100%。</w:t>
      </w:r>
    </w:p>
    <w:p w14:paraId="058D02F5">
      <w:pPr>
        <w:bidi w:val="0"/>
        <w:rPr>
          <w:rFonts w:hint="default"/>
          <w:lang w:val="en-US" w:eastAsia="zh-CN"/>
        </w:rPr>
      </w:pPr>
      <w:r>
        <w:rPr>
          <w:rFonts w:hint="default"/>
          <w:highlight w:val="none"/>
          <w:lang w:val="en-US" w:eastAsia="zh-CN"/>
        </w:rPr>
        <w:t>地表水环境：园区配套的沅陵产业开发区污水处</w:t>
      </w:r>
      <w:r>
        <w:rPr>
          <w:rFonts w:hint="default"/>
          <w:lang w:val="en-US" w:eastAsia="zh-CN"/>
        </w:rPr>
        <w:t>理厂在线监测设施已联网验收，进、出口污水水质数据正式上传，园区可以实时了解产业开发区污水处理厂的废水总排口的排放情况。202</w:t>
      </w:r>
      <w:r>
        <w:rPr>
          <w:rFonts w:hint="eastAsia"/>
          <w:lang w:val="en-US" w:eastAsia="zh-CN"/>
        </w:rPr>
        <w:t>4</w:t>
      </w:r>
      <w:r>
        <w:rPr>
          <w:rFonts w:hint="default"/>
          <w:lang w:val="en-US" w:eastAsia="zh-CN"/>
        </w:rPr>
        <w:t>年，沅陵产业开发区污水处理厂排污口的出水水质均达标。根据自行监测结果可知，202</w:t>
      </w:r>
      <w:r>
        <w:rPr>
          <w:rFonts w:hint="eastAsia"/>
          <w:lang w:val="en-US" w:eastAsia="zh-CN"/>
        </w:rPr>
        <w:t>4</w:t>
      </w:r>
      <w:r>
        <w:rPr>
          <w:rFonts w:hint="default"/>
          <w:lang w:val="en-US" w:eastAsia="zh-CN"/>
        </w:rPr>
        <w:t>年度园区地表水环境质量满足相关地表水环境质量标准。</w:t>
      </w:r>
    </w:p>
    <w:p w14:paraId="334A093B">
      <w:pPr>
        <w:bidi w:val="0"/>
        <w:rPr>
          <w:rFonts w:hint="default"/>
          <w:lang w:val="en-US" w:eastAsia="zh-CN"/>
        </w:rPr>
      </w:pPr>
      <w:r>
        <w:rPr>
          <w:rFonts w:hint="default"/>
          <w:lang w:val="en-US" w:eastAsia="zh-CN"/>
        </w:rPr>
        <w:t>土壤环境：根据自行监测结果可知，202</w:t>
      </w:r>
      <w:r>
        <w:rPr>
          <w:rFonts w:hint="eastAsia"/>
          <w:lang w:val="en-US" w:eastAsia="zh-CN"/>
        </w:rPr>
        <w:t>4</w:t>
      </w:r>
      <w:r>
        <w:rPr>
          <w:rFonts w:hint="default"/>
          <w:lang w:val="en-US" w:eastAsia="zh-CN"/>
        </w:rPr>
        <w:t>年度，园区土壤监测点环境质量满足相关土壤环境质量标准，园区土壤环境质量较好。</w:t>
      </w:r>
    </w:p>
    <w:p w14:paraId="0B3978E3">
      <w:pPr>
        <w:bidi w:val="0"/>
        <w:rPr>
          <w:rFonts w:hint="default"/>
          <w:lang w:val="en-US" w:eastAsia="zh-CN"/>
        </w:rPr>
      </w:pPr>
      <w:r>
        <w:rPr>
          <w:rFonts w:hint="default"/>
          <w:lang w:val="en-US" w:eastAsia="zh-CN"/>
        </w:rPr>
        <w:t>地下水环境：根据自行监测结果可知，202</w:t>
      </w:r>
      <w:r>
        <w:rPr>
          <w:rFonts w:hint="eastAsia"/>
          <w:lang w:val="en-US" w:eastAsia="zh-CN"/>
        </w:rPr>
        <w:t>4</w:t>
      </w:r>
      <w:r>
        <w:rPr>
          <w:rFonts w:hint="default"/>
          <w:lang w:val="en-US" w:eastAsia="zh-CN"/>
        </w:rPr>
        <w:t>年度，园区地下水环境质量满足相关地下水环境质量标准，园区地下水环境质量较好。</w:t>
      </w:r>
    </w:p>
    <w:p w14:paraId="355F384C">
      <w:pPr>
        <w:bidi w:val="0"/>
        <w:rPr>
          <w:rFonts w:hint="default"/>
          <w:lang w:val="en-US" w:eastAsia="zh-CN"/>
        </w:rPr>
      </w:pPr>
      <w:r>
        <w:rPr>
          <w:rFonts w:hint="default"/>
          <w:lang w:val="en-US" w:eastAsia="zh-CN"/>
        </w:rPr>
        <w:t>噪声环境：根据自行监测结果可知，202</w:t>
      </w:r>
      <w:r>
        <w:rPr>
          <w:rFonts w:hint="eastAsia"/>
          <w:lang w:val="en-US" w:eastAsia="zh-CN"/>
        </w:rPr>
        <w:t>4</w:t>
      </w:r>
      <w:r>
        <w:rPr>
          <w:rFonts w:hint="default"/>
          <w:lang w:val="en-US" w:eastAsia="zh-CN"/>
        </w:rPr>
        <w:t>年度，园区环境噪声满足相关声环境质量标准。</w:t>
      </w:r>
    </w:p>
    <w:p w14:paraId="10D303CE">
      <w:pPr>
        <w:bidi w:val="0"/>
        <w:rPr>
          <w:rFonts w:hint="default"/>
          <w:lang w:val="en-US" w:eastAsia="zh-CN"/>
        </w:rPr>
      </w:pPr>
      <w:r>
        <w:rPr>
          <w:rFonts w:hint="default"/>
          <w:lang w:val="en-US" w:eastAsia="zh-CN"/>
        </w:rPr>
        <w:t>污染源监测：园区各企业根据各建设项目环境影响评价报告、排污许可证等要求制定自行监测方案、并实施。</w:t>
      </w:r>
    </w:p>
    <w:p w14:paraId="7293280C">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1"/>
        <w:rPr>
          <w:rFonts w:hint="default"/>
          <w:b/>
          <w:bCs/>
          <w:lang w:val="en-US" w:eastAsia="zh-CN"/>
        </w:rPr>
      </w:pPr>
      <w:bookmarkStart w:id="3" w:name="_Toc4782"/>
      <w:r>
        <w:rPr>
          <w:rFonts w:hint="eastAsia"/>
          <w:b/>
          <w:bCs/>
          <w:lang w:val="en-US" w:eastAsia="zh-CN"/>
        </w:rPr>
        <w:t>（二）“</w:t>
      </w:r>
      <w:r>
        <w:rPr>
          <w:rFonts w:hint="default"/>
          <w:b/>
          <w:bCs/>
          <w:lang w:val="en-US" w:eastAsia="zh-CN"/>
        </w:rPr>
        <w:t>三线一单</w:t>
      </w:r>
      <w:r>
        <w:rPr>
          <w:rFonts w:hint="eastAsia"/>
          <w:b/>
          <w:bCs/>
          <w:lang w:val="en-US" w:eastAsia="zh-CN"/>
        </w:rPr>
        <w:t>”</w:t>
      </w:r>
      <w:r>
        <w:rPr>
          <w:rFonts w:hint="default"/>
          <w:b/>
          <w:bCs/>
          <w:lang w:val="en-US" w:eastAsia="zh-CN"/>
        </w:rPr>
        <w:t>落地应用情况</w:t>
      </w:r>
      <w:bookmarkEnd w:id="3"/>
    </w:p>
    <w:p w14:paraId="1D857764">
      <w:pPr>
        <w:bidi w:val="0"/>
        <w:rPr>
          <w:rFonts w:hint="default"/>
          <w:lang w:val="en-US" w:eastAsia="zh-CN"/>
        </w:rPr>
      </w:pPr>
      <w:r>
        <w:rPr>
          <w:rFonts w:hint="default"/>
          <w:lang w:val="en-US" w:eastAsia="zh-CN"/>
        </w:rPr>
        <w:t>沅陵产业开发区结合《湖南省人民政府关于实施</w:t>
      </w:r>
      <w:r>
        <w:rPr>
          <w:rFonts w:hint="eastAsia"/>
          <w:lang w:val="en-US" w:eastAsia="zh-CN"/>
        </w:rPr>
        <w:t>“</w:t>
      </w:r>
      <w:r>
        <w:rPr>
          <w:rFonts w:hint="default"/>
          <w:lang w:val="en-US" w:eastAsia="zh-CN"/>
        </w:rPr>
        <w:t>三线一单</w:t>
      </w:r>
      <w:r>
        <w:rPr>
          <w:rFonts w:hint="eastAsia"/>
          <w:lang w:val="en-US" w:eastAsia="zh-CN"/>
        </w:rPr>
        <w:t>”</w:t>
      </w:r>
      <w:r>
        <w:rPr>
          <w:rFonts w:hint="default"/>
          <w:lang w:val="en-US" w:eastAsia="zh-CN"/>
        </w:rPr>
        <w:t>生态环境分区管控的意见》《湖南省</w:t>
      </w:r>
      <w:r>
        <w:rPr>
          <w:rFonts w:hint="eastAsia"/>
          <w:lang w:val="en-US" w:eastAsia="zh-CN"/>
        </w:rPr>
        <w:t>“</w:t>
      </w:r>
      <w:r>
        <w:rPr>
          <w:rFonts w:hint="default"/>
          <w:lang w:val="en-US" w:eastAsia="zh-CN"/>
        </w:rPr>
        <w:t>三线一单</w:t>
      </w:r>
      <w:r>
        <w:rPr>
          <w:rFonts w:hint="eastAsia"/>
          <w:lang w:val="en-US" w:eastAsia="zh-CN"/>
        </w:rPr>
        <w:t>”</w:t>
      </w:r>
      <w:r>
        <w:rPr>
          <w:rFonts w:hint="default"/>
          <w:lang w:val="en-US" w:eastAsia="zh-CN"/>
        </w:rPr>
        <w:t>生态环境总体管控要求既省级以上产业园区生态环境准入清单》开展了自查，园区发展、项目审批、环境执法等严格落实和执行</w:t>
      </w:r>
      <w:r>
        <w:rPr>
          <w:rFonts w:hint="eastAsia"/>
          <w:lang w:val="en-US" w:eastAsia="zh-CN"/>
        </w:rPr>
        <w:t>“</w:t>
      </w:r>
      <w:r>
        <w:rPr>
          <w:rFonts w:hint="default"/>
          <w:lang w:val="en-US" w:eastAsia="zh-CN"/>
        </w:rPr>
        <w:t>三线一单</w:t>
      </w:r>
      <w:r>
        <w:rPr>
          <w:rFonts w:hint="eastAsia"/>
          <w:lang w:val="en-US" w:eastAsia="zh-CN"/>
        </w:rPr>
        <w:t>”</w:t>
      </w:r>
      <w:r>
        <w:rPr>
          <w:rFonts w:hint="default"/>
          <w:lang w:val="en-US" w:eastAsia="zh-CN"/>
        </w:rPr>
        <w:t>的相关管控要求，园区</w:t>
      </w:r>
      <w:r>
        <w:rPr>
          <w:rFonts w:hint="eastAsia"/>
          <w:lang w:val="en-US" w:eastAsia="zh-CN"/>
        </w:rPr>
        <w:t>“</w:t>
      </w:r>
      <w:r>
        <w:rPr>
          <w:rFonts w:hint="default"/>
          <w:lang w:val="en-US" w:eastAsia="zh-CN"/>
        </w:rPr>
        <w:t>三线一单</w:t>
      </w:r>
      <w:r>
        <w:rPr>
          <w:rFonts w:hint="eastAsia"/>
          <w:lang w:val="en-US" w:eastAsia="zh-CN"/>
        </w:rPr>
        <w:t>”</w:t>
      </w:r>
      <w:r>
        <w:rPr>
          <w:rFonts w:hint="default"/>
          <w:lang w:val="en-US" w:eastAsia="zh-CN"/>
        </w:rPr>
        <w:t>落地应用情况如下。</w:t>
      </w:r>
    </w:p>
    <w:p w14:paraId="1FC32C1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b/>
          <w:bCs/>
          <w:sz w:val="24"/>
          <w:szCs w:val="24"/>
          <w:highlight w:val="none"/>
          <w:lang w:val="en-US" w:eastAsia="zh-CN"/>
        </w:rPr>
      </w:pPr>
      <w:r>
        <w:rPr>
          <w:rFonts w:hint="eastAsia" w:ascii="Times New Roman" w:hAnsi="Times New Roman" w:eastAsia="宋体"/>
          <w:b/>
          <w:bCs/>
          <w:sz w:val="24"/>
          <w:szCs w:val="24"/>
          <w:highlight w:val="none"/>
          <w:lang w:val="en-US" w:eastAsia="zh-CN"/>
        </w:rPr>
        <w:t>表3 沅陵产业开发区“三线一单”落地应用情况一览表</w:t>
      </w:r>
    </w:p>
    <w:tbl>
      <w:tblPr>
        <w:tblStyle w:val="12"/>
        <w:tblW w:w="49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707"/>
        <w:gridCol w:w="567"/>
        <w:gridCol w:w="3104"/>
        <w:gridCol w:w="3613"/>
      </w:tblGrid>
      <w:tr w14:paraId="64440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6" w:type="pct"/>
            <w:tcBorders>
              <w:top w:val="single" w:color="auto" w:sz="8" w:space="0"/>
              <w:left w:val="single" w:color="auto" w:sz="8" w:space="0"/>
              <w:bottom w:val="single" w:color="auto" w:sz="8" w:space="0"/>
              <w:right w:val="single" w:color="auto" w:sz="8" w:space="0"/>
            </w:tcBorders>
            <w:noWrap w:val="0"/>
            <w:vAlign w:val="center"/>
          </w:tcPr>
          <w:p w14:paraId="3650BC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序号</w:t>
            </w:r>
          </w:p>
        </w:tc>
        <w:tc>
          <w:tcPr>
            <w:tcW w:w="748" w:type="pct"/>
            <w:gridSpan w:val="2"/>
            <w:tcBorders>
              <w:top w:val="single" w:color="auto" w:sz="8" w:space="0"/>
              <w:left w:val="single" w:color="auto" w:sz="8" w:space="0"/>
              <w:bottom w:val="single" w:color="auto" w:sz="8" w:space="0"/>
              <w:right w:val="single" w:color="auto" w:sz="8" w:space="0"/>
            </w:tcBorders>
            <w:noWrap w:val="0"/>
            <w:vAlign w:val="center"/>
          </w:tcPr>
          <w:p w14:paraId="4ED5D5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管控维度</w:t>
            </w:r>
          </w:p>
        </w:tc>
        <w:tc>
          <w:tcPr>
            <w:tcW w:w="1823" w:type="pct"/>
            <w:tcBorders>
              <w:top w:val="single" w:color="auto" w:sz="8" w:space="0"/>
              <w:left w:val="single" w:color="auto" w:sz="8" w:space="0"/>
              <w:bottom w:val="single" w:color="auto" w:sz="8" w:space="0"/>
              <w:right w:val="single" w:color="auto" w:sz="8" w:space="0"/>
            </w:tcBorders>
            <w:noWrap w:val="0"/>
            <w:vAlign w:val="center"/>
          </w:tcPr>
          <w:p w14:paraId="2158A9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管控要求</w:t>
            </w:r>
          </w:p>
        </w:tc>
        <w:tc>
          <w:tcPr>
            <w:tcW w:w="2122" w:type="pct"/>
            <w:tcBorders>
              <w:top w:val="single" w:color="auto" w:sz="8" w:space="0"/>
              <w:left w:val="single" w:color="auto" w:sz="8" w:space="0"/>
              <w:bottom w:val="single" w:color="auto" w:sz="8" w:space="0"/>
              <w:right w:val="single" w:color="auto" w:sz="8" w:space="0"/>
            </w:tcBorders>
            <w:noWrap w:val="0"/>
            <w:vAlign w:val="center"/>
          </w:tcPr>
          <w:p w14:paraId="0D1063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开发区落实情况</w:t>
            </w:r>
          </w:p>
        </w:tc>
      </w:tr>
      <w:tr w14:paraId="6A5DD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06" w:type="pct"/>
            <w:tcBorders>
              <w:top w:val="single" w:color="auto" w:sz="8" w:space="0"/>
              <w:left w:val="single" w:color="auto" w:sz="8" w:space="0"/>
              <w:bottom w:val="single" w:color="auto" w:sz="8" w:space="0"/>
              <w:right w:val="single" w:color="auto" w:sz="8" w:space="0"/>
            </w:tcBorders>
            <w:noWrap w:val="0"/>
            <w:vAlign w:val="center"/>
          </w:tcPr>
          <w:p w14:paraId="5299D9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w:t>
            </w:r>
          </w:p>
        </w:tc>
        <w:tc>
          <w:tcPr>
            <w:tcW w:w="748" w:type="pct"/>
            <w:gridSpan w:val="2"/>
            <w:tcBorders>
              <w:top w:val="single" w:color="auto" w:sz="8" w:space="0"/>
              <w:left w:val="single" w:color="auto" w:sz="8" w:space="0"/>
              <w:bottom w:val="single" w:color="auto" w:sz="8" w:space="0"/>
              <w:right w:val="single" w:color="auto" w:sz="8" w:space="0"/>
            </w:tcBorders>
            <w:noWrap w:val="0"/>
            <w:vAlign w:val="center"/>
          </w:tcPr>
          <w:p w14:paraId="6AEA6B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空间布局约束</w:t>
            </w:r>
          </w:p>
        </w:tc>
        <w:tc>
          <w:tcPr>
            <w:tcW w:w="1823" w:type="pct"/>
            <w:tcBorders>
              <w:top w:val="single" w:color="auto" w:sz="8" w:space="0"/>
              <w:left w:val="single" w:color="auto" w:sz="8" w:space="0"/>
              <w:bottom w:val="single" w:color="auto" w:sz="8" w:space="0"/>
              <w:right w:val="single" w:color="auto" w:sz="8" w:space="0"/>
            </w:tcBorders>
            <w:noWrap w:val="0"/>
            <w:vAlign w:val="center"/>
          </w:tcPr>
          <w:p w14:paraId="074E885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（1.1）开发区内不设居住用地，开发区不新建三类工业项目。</w:t>
            </w:r>
          </w:p>
          <w:p w14:paraId="6173178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（1.2）开发区内不设居住用地，开发区三类工业用地边界外1km范围内不得新建医院、学校、居民区等环境敏感目标型项目。</w:t>
            </w:r>
          </w:p>
        </w:tc>
        <w:tc>
          <w:tcPr>
            <w:tcW w:w="2122" w:type="pct"/>
            <w:tcBorders>
              <w:top w:val="single" w:color="auto" w:sz="8" w:space="0"/>
              <w:left w:val="single" w:color="auto" w:sz="8" w:space="0"/>
              <w:bottom w:val="single" w:color="auto" w:sz="8" w:space="0"/>
              <w:right w:val="single" w:color="auto" w:sz="8" w:space="0"/>
            </w:tcBorders>
            <w:noWrap w:val="0"/>
            <w:vAlign w:val="center"/>
          </w:tcPr>
          <w:p w14:paraId="02A1F2D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(1.1)开发区未新建三类工业项目，开发区现设有三个安置点，用于安置开发区拆迁居民，分别为位于开发区西北面的高岩安置点、开发区东面的刘家安置点、开发区中北面的岩湾安置点，除岩湾安置点外其余已建安置点均位于核准范围内，现状安置点设置不符合“开发区内不设居住用地”要求。开发区核准范围内无三类工业用地。</w:t>
            </w:r>
          </w:p>
          <w:p w14:paraId="4FA45FB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(1.2)开发区核准范围内无三类工业用地。</w:t>
            </w:r>
          </w:p>
        </w:tc>
      </w:tr>
      <w:tr w14:paraId="6EEB1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306" w:type="pct"/>
            <w:vMerge w:val="restart"/>
            <w:tcBorders>
              <w:top w:val="single" w:color="auto" w:sz="8" w:space="0"/>
              <w:left w:val="single" w:color="auto" w:sz="8" w:space="0"/>
              <w:bottom w:val="single" w:color="auto" w:sz="8" w:space="0"/>
              <w:right w:val="single" w:color="auto" w:sz="8" w:space="0"/>
            </w:tcBorders>
            <w:noWrap w:val="0"/>
            <w:vAlign w:val="center"/>
          </w:tcPr>
          <w:p w14:paraId="4EA0E2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w:t>
            </w:r>
          </w:p>
        </w:tc>
        <w:tc>
          <w:tcPr>
            <w:tcW w:w="415" w:type="pct"/>
            <w:vMerge w:val="restart"/>
            <w:tcBorders>
              <w:top w:val="single" w:color="auto" w:sz="8" w:space="0"/>
              <w:left w:val="single" w:color="auto" w:sz="8" w:space="0"/>
              <w:bottom w:val="single" w:color="auto" w:sz="8" w:space="0"/>
              <w:right w:val="single" w:color="auto" w:sz="8" w:space="0"/>
            </w:tcBorders>
            <w:noWrap w:val="0"/>
            <w:vAlign w:val="center"/>
          </w:tcPr>
          <w:p w14:paraId="1630E9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污染物排放管控</w:t>
            </w:r>
          </w:p>
        </w:tc>
        <w:tc>
          <w:tcPr>
            <w:tcW w:w="333" w:type="pct"/>
            <w:vMerge w:val="restart"/>
            <w:tcBorders>
              <w:top w:val="single" w:color="auto" w:sz="8" w:space="0"/>
              <w:left w:val="single" w:color="auto" w:sz="8" w:space="0"/>
              <w:bottom w:val="single" w:color="auto" w:sz="8" w:space="0"/>
              <w:right w:val="single" w:color="auto" w:sz="8" w:space="0"/>
            </w:tcBorders>
            <w:noWrap w:val="0"/>
            <w:vAlign w:val="center"/>
          </w:tcPr>
          <w:p w14:paraId="6FF28C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废水</w:t>
            </w:r>
          </w:p>
        </w:tc>
        <w:tc>
          <w:tcPr>
            <w:tcW w:w="1823" w:type="pct"/>
            <w:tcBorders>
              <w:top w:val="single" w:color="auto" w:sz="8" w:space="0"/>
              <w:left w:val="single" w:color="auto" w:sz="8" w:space="0"/>
              <w:bottom w:val="single" w:color="auto" w:sz="8" w:space="0"/>
              <w:right w:val="single" w:color="auto" w:sz="8" w:space="0"/>
            </w:tcBorders>
            <w:noWrap w:val="0"/>
            <w:vAlign w:val="center"/>
          </w:tcPr>
          <w:p w14:paraId="2B9EEC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（2.1.1）开发区工业废水、生活污水经开发区污水处理厂处理达标后排入蓝溪河，汇入沅江。开发区内雨水收集后排入开发区雨水管道系统，经开发区外市政雨水排水管排入蓝溪河。</w:t>
            </w:r>
          </w:p>
        </w:tc>
        <w:tc>
          <w:tcPr>
            <w:tcW w:w="2122" w:type="pct"/>
            <w:tcBorders>
              <w:top w:val="single" w:color="auto" w:sz="8" w:space="0"/>
              <w:left w:val="single" w:color="auto" w:sz="8" w:space="0"/>
              <w:bottom w:val="single" w:color="auto" w:sz="8" w:space="0"/>
              <w:right w:val="single" w:color="auto" w:sz="8" w:space="0"/>
            </w:tcBorders>
            <w:noWrap w:val="0"/>
            <w:vAlign w:val="center"/>
          </w:tcPr>
          <w:p w14:paraId="6B10B3B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开发区雨、污水管网建设较为完善，开发区现状生活污水和生产废水均进入沅陵县产业开发区污水处理站进行处理达标后排入蓝溪河、最终汇入沅江。</w:t>
            </w:r>
          </w:p>
          <w:p w14:paraId="285DFBA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开发区内雨水经管网收集后排入开发区雨水管道系统，经开发区外市政雨水排水管排入蓝溪河。</w:t>
            </w:r>
          </w:p>
        </w:tc>
      </w:tr>
      <w:tr w14:paraId="5F432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306" w:type="pct"/>
            <w:vMerge w:val="continue"/>
            <w:tcBorders>
              <w:top w:val="single" w:color="auto" w:sz="8" w:space="0"/>
              <w:left w:val="single" w:color="auto" w:sz="8" w:space="0"/>
              <w:bottom w:val="single" w:color="auto" w:sz="8" w:space="0"/>
              <w:right w:val="single" w:color="auto" w:sz="8" w:space="0"/>
            </w:tcBorders>
            <w:noWrap w:val="0"/>
            <w:vAlign w:val="center"/>
          </w:tcPr>
          <w:p w14:paraId="7002D5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415" w:type="pct"/>
            <w:vMerge w:val="continue"/>
            <w:tcBorders>
              <w:top w:val="single" w:color="auto" w:sz="8" w:space="0"/>
              <w:left w:val="single" w:color="auto" w:sz="8" w:space="0"/>
              <w:bottom w:val="single" w:color="auto" w:sz="8" w:space="0"/>
              <w:right w:val="single" w:color="auto" w:sz="8" w:space="0"/>
            </w:tcBorders>
            <w:noWrap w:val="0"/>
            <w:vAlign w:val="center"/>
          </w:tcPr>
          <w:p w14:paraId="6F20F7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333" w:type="pct"/>
            <w:vMerge w:val="continue"/>
            <w:tcBorders>
              <w:top w:val="single" w:color="auto" w:sz="8" w:space="0"/>
              <w:left w:val="single" w:color="auto" w:sz="8" w:space="0"/>
              <w:bottom w:val="single" w:color="auto" w:sz="8" w:space="0"/>
              <w:right w:val="single" w:color="auto" w:sz="8" w:space="0"/>
            </w:tcBorders>
            <w:noWrap w:val="0"/>
            <w:vAlign w:val="center"/>
          </w:tcPr>
          <w:p w14:paraId="3ABBD5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1823" w:type="pct"/>
            <w:tcBorders>
              <w:top w:val="single" w:color="auto" w:sz="8" w:space="0"/>
              <w:left w:val="single" w:color="auto" w:sz="8" w:space="0"/>
              <w:bottom w:val="single" w:color="auto" w:sz="8" w:space="0"/>
              <w:right w:val="single" w:color="auto" w:sz="8" w:space="0"/>
            </w:tcBorders>
            <w:noWrap w:val="0"/>
            <w:vAlign w:val="center"/>
          </w:tcPr>
          <w:p w14:paraId="5BE653E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（2.1.2）按排水规划，开发区内污水进入新建的工业新区污水处理厂处理达标后排入怡溪;在集中污水处理厂建成投运前，严格限制水型污染企业进入。开发区内雨水经雨水管道收集后就近排入沃溪。</w:t>
            </w:r>
          </w:p>
        </w:tc>
        <w:tc>
          <w:tcPr>
            <w:tcW w:w="2122" w:type="pct"/>
            <w:tcBorders>
              <w:top w:val="single" w:color="auto" w:sz="8" w:space="0"/>
              <w:left w:val="single" w:color="auto" w:sz="8" w:space="0"/>
              <w:bottom w:val="single" w:color="auto" w:sz="8" w:space="0"/>
              <w:right w:val="single" w:color="auto" w:sz="8" w:space="0"/>
            </w:tcBorders>
            <w:noWrap w:val="0"/>
            <w:vAlign w:val="center"/>
          </w:tcPr>
          <w:p w14:paraId="4CB986B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开发区已严格限制水型污染企业进入。</w:t>
            </w:r>
          </w:p>
          <w:p w14:paraId="1D62486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开发区排水采用雨污分流制，雨水经厂内雨水管网进入开发区雨水管网，收集后就近排入沃溪。开发区内已开发区域雨水管网已建设完善。</w:t>
            </w:r>
          </w:p>
        </w:tc>
      </w:tr>
      <w:tr w14:paraId="58E566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306" w:type="pct"/>
            <w:vMerge w:val="continue"/>
            <w:tcBorders>
              <w:top w:val="single" w:color="auto" w:sz="8" w:space="0"/>
              <w:left w:val="single" w:color="auto" w:sz="8" w:space="0"/>
              <w:bottom w:val="single" w:color="auto" w:sz="8" w:space="0"/>
              <w:right w:val="single" w:color="auto" w:sz="8" w:space="0"/>
            </w:tcBorders>
            <w:noWrap w:val="0"/>
            <w:vAlign w:val="center"/>
          </w:tcPr>
          <w:p w14:paraId="5150A0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415" w:type="pct"/>
            <w:vMerge w:val="continue"/>
            <w:tcBorders>
              <w:top w:val="single" w:color="auto" w:sz="8" w:space="0"/>
              <w:left w:val="single" w:color="auto" w:sz="8" w:space="0"/>
              <w:bottom w:val="single" w:color="auto" w:sz="8" w:space="0"/>
              <w:right w:val="single" w:color="auto" w:sz="8" w:space="0"/>
            </w:tcBorders>
            <w:noWrap w:val="0"/>
            <w:vAlign w:val="center"/>
          </w:tcPr>
          <w:p w14:paraId="357947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333" w:type="pct"/>
            <w:vMerge w:val="restart"/>
            <w:tcBorders>
              <w:top w:val="single" w:color="auto" w:sz="8" w:space="0"/>
              <w:left w:val="single" w:color="auto" w:sz="8" w:space="0"/>
              <w:bottom w:val="single" w:color="auto" w:sz="8" w:space="0"/>
              <w:right w:val="single" w:color="auto" w:sz="8" w:space="0"/>
            </w:tcBorders>
            <w:noWrap w:val="0"/>
            <w:vAlign w:val="center"/>
          </w:tcPr>
          <w:p w14:paraId="1F8197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废气</w:t>
            </w:r>
          </w:p>
        </w:tc>
        <w:tc>
          <w:tcPr>
            <w:tcW w:w="1823" w:type="pct"/>
            <w:tcBorders>
              <w:top w:val="single" w:color="auto" w:sz="8" w:space="0"/>
              <w:left w:val="single" w:color="auto" w:sz="8" w:space="0"/>
              <w:bottom w:val="single" w:color="auto" w:sz="8" w:space="0"/>
              <w:right w:val="single" w:color="auto" w:sz="8" w:space="0"/>
            </w:tcBorders>
            <w:noWrap w:val="0"/>
            <w:vAlign w:val="center"/>
          </w:tcPr>
          <w:p w14:paraId="1813176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(2.2.1)加强入园企业环保管理，督促企业配套建设污染防治设施，确保废气处理后达到国家相应标准。加强生产工艺研究与技术改进，采取有效措施，减少开发区内工艺废气的无组织排放。</w:t>
            </w:r>
          </w:p>
        </w:tc>
        <w:tc>
          <w:tcPr>
            <w:tcW w:w="2122" w:type="pct"/>
            <w:tcBorders>
              <w:top w:val="single" w:color="auto" w:sz="8" w:space="0"/>
              <w:left w:val="single" w:color="auto" w:sz="8" w:space="0"/>
              <w:bottom w:val="single" w:color="auto" w:sz="8" w:space="0"/>
              <w:right w:val="single" w:color="auto" w:sz="8" w:space="0"/>
            </w:tcBorders>
            <w:noWrap w:val="0"/>
            <w:vAlign w:val="center"/>
          </w:tcPr>
          <w:p w14:paraId="1793462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开发区内现有企业的配套污染防治设施均较完善，废气经处理后均能实现达标排放。采取有效措施，减少开发区内工艺废气的无组织排放。</w:t>
            </w:r>
          </w:p>
        </w:tc>
      </w:tr>
      <w:tr w14:paraId="0A0987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306" w:type="pct"/>
            <w:vMerge w:val="continue"/>
            <w:tcBorders>
              <w:top w:val="single" w:color="auto" w:sz="8" w:space="0"/>
              <w:left w:val="single" w:color="auto" w:sz="8" w:space="0"/>
              <w:bottom w:val="single" w:color="auto" w:sz="8" w:space="0"/>
              <w:right w:val="single" w:color="auto" w:sz="8" w:space="0"/>
            </w:tcBorders>
            <w:noWrap w:val="0"/>
            <w:vAlign w:val="center"/>
          </w:tcPr>
          <w:p w14:paraId="391DC7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415" w:type="pct"/>
            <w:vMerge w:val="continue"/>
            <w:tcBorders>
              <w:top w:val="single" w:color="auto" w:sz="8" w:space="0"/>
              <w:left w:val="single" w:color="auto" w:sz="8" w:space="0"/>
              <w:bottom w:val="single" w:color="auto" w:sz="8" w:space="0"/>
              <w:right w:val="single" w:color="auto" w:sz="8" w:space="0"/>
            </w:tcBorders>
            <w:noWrap w:val="0"/>
            <w:vAlign w:val="center"/>
          </w:tcPr>
          <w:p w14:paraId="38227F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333" w:type="pct"/>
            <w:vMerge w:val="continue"/>
            <w:tcBorders>
              <w:top w:val="single" w:color="auto" w:sz="8" w:space="0"/>
              <w:left w:val="single" w:color="auto" w:sz="8" w:space="0"/>
              <w:bottom w:val="single" w:color="auto" w:sz="8" w:space="0"/>
              <w:right w:val="single" w:color="auto" w:sz="8" w:space="0"/>
            </w:tcBorders>
            <w:noWrap w:val="0"/>
            <w:vAlign w:val="center"/>
          </w:tcPr>
          <w:p w14:paraId="377832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1823" w:type="pct"/>
            <w:tcBorders>
              <w:top w:val="single" w:color="auto" w:sz="8" w:space="0"/>
              <w:left w:val="single" w:color="auto" w:sz="8" w:space="0"/>
              <w:bottom w:val="single" w:color="auto" w:sz="8" w:space="0"/>
              <w:right w:val="single" w:color="auto" w:sz="8" w:space="0"/>
            </w:tcBorders>
            <w:noWrap w:val="0"/>
            <w:vAlign w:val="center"/>
          </w:tcPr>
          <w:p w14:paraId="41C5127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(2.2.2)实施VOCs原辅材料替代、VOCs污染治理达标、氮氧化物污染治理提升、臭氧精准防控体系构建、污染源监管能力提升等重点行动，推进NOx和VOCs排放总量持续减少。</w:t>
            </w:r>
          </w:p>
        </w:tc>
        <w:tc>
          <w:tcPr>
            <w:tcW w:w="2122" w:type="pct"/>
            <w:tcBorders>
              <w:top w:val="single" w:color="auto" w:sz="8" w:space="0"/>
              <w:left w:val="single" w:color="auto" w:sz="8" w:space="0"/>
              <w:bottom w:val="single" w:color="auto" w:sz="8" w:space="0"/>
              <w:right w:val="single" w:color="auto" w:sz="8" w:space="0"/>
            </w:tcBorders>
            <w:noWrap w:val="0"/>
            <w:vAlign w:val="center"/>
          </w:tcPr>
          <w:p w14:paraId="3044DD7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开发区已开展关于开发区内企业实施VOCs原辅材料替代、VOCs污染治理达标、氮氧化物污染治理提升、臭氧精准防控体系构建、污染源监管能力提升等重点行动，将继续开发区推进NOX和VOCs排放总量持续减少。</w:t>
            </w:r>
          </w:p>
        </w:tc>
      </w:tr>
      <w:tr w14:paraId="46D25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306" w:type="pct"/>
            <w:vMerge w:val="continue"/>
            <w:tcBorders>
              <w:top w:val="single" w:color="auto" w:sz="8" w:space="0"/>
              <w:left w:val="single" w:color="auto" w:sz="8" w:space="0"/>
              <w:bottom w:val="single" w:color="auto" w:sz="8" w:space="0"/>
              <w:right w:val="single" w:color="auto" w:sz="8" w:space="0"/>
            </w:tcBorders>
            <w:noWrap w:val="0"/>
            <w:vAlign w:val="center"/>
          </w:tcPr>
          <w:p w14:paraId="26F74D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415" w:type="pct"/>
            <w:vMerge w:val="continue"/>
            <w:tcBorders>
              <w:top w:val="single" w:color="auto" w:sz="8" w:space="0"/>
              <w:left w:val="single" w:color="auto" w:sz="8" w:space="0"/>
              <w:bottom w:val="single" w:color="auto" w:sz="8" w:space="0"/>
              <w:right w:val="single" w:color="auto" w:sz="8" w:space="0"/>
            </w:tcBorders>
            <w:noWrap w:val="0"/>
            <w:vAlign w:val="center"/>
          </w:tcPr>
          <w:p w14:paraId="032454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333" w:type="pct"/>
            <w:vMerge w:val="continue"/>
            <w:tcBorders>
              <w:top w:val="single" w:color="auto" w:sz="8" w:space="0"/>
              <w:left w:val="single" w:color="auto" w:sz="8" w:space="0"/>
              <w:bottom w:val="single" w:color="auto" w:sz="8" w:space="0"/>
              <w:right w:val="single" w:color="auto" w:sz="8" w:space="0"/>
            </w:tcBorders>
            <w:noWrap w:val="0"/>
            <w:vAlign w:val="center"/>
          </w:tcPr>
          <w:p w14:paraId="2EFD72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1823" w:type="pct"/>
            <w:tcBorders>
              <w:top w:val="single" w:color="auto" w:sz="8" w:space="0"/>
              <w:left w:val="single" w:color="auto" w:sz="8" w:space="0"/>
              <w:bottom w:val="single" w:color="auto" w:sz="8" w:space="0"/>
              <w:right w:val="single" w:color="auto" w:sz="8" w:space="0"/>
            </w:tcBorders>
            <w:noWrap w:val="0"/>
            <w:vAlign w:val="center"/>
          </w:tcPr>
          <w:p w14:paraId="7C81929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（2.2.3）严格控制燃煤含硫率，禁止沿用中、高硫原煤，对燃煤装置配备必要的脱硫除尘烟气净化设施，保证达标排放。</w:t>
            </w:r>
          </w:p>
        </w:tc>
        <w:tc>
          <w:tcPr>
            <w:tcW w:w="2122" w:type="pct"/>
            <w:tcBorders>
              <w:top w:val="single" w:color="auto" w:sz="8" w:space="0"/>
              <w:left w:val="single" w:color="auto" w:sz="8" w:space="0"/>
              <w:bottom w:val="single" w:color="auto" w:sz="8" w:space="0"/>
              <w:right w:val="single" w:color="auto" w:sz="8" w:space="0"/>
            </w:tcBorders>
            <w:noWrap w:val="0"/>
            <w:vAlign w:val="center"/>
          </w:tcPr>
          <w:p w14:paraId="322F7B4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开发区内无燃煤企业。</w:t>
            </w:r>
          </w:p>
        </w:tc>
      </w:tr>
      <w:tr w14:paraId="19EF8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06" w:type="pct"/>
            <w:vMerge w:val="continue"/>
            <w:tcBorders>
              <w:top w:val="single" w:color="auto" w:sz="8" w:space="0"/>
              <w:left w:val="single" w:color="auto" w:sz="8" w:space="0"/>
              <w:bottom w:val="single" w:color="auto" w:sz="8" w:space="0"/>
              <w:right w:val="single" w:color="auto" w:sz="8" w:space="0"/>
            </w:tcBorders>
            <w:noWrap w:val="0"/>
            <w:vAlign w:val="center"/>
          </w:tcPr>
          <w:p w14:paraId="24D55E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415" w:type="pct"/>
            <w:vMerge w:val="continue"/>
            <w:tcBorders>
              <w:top w:val="single" w:color="auto" w:sz="8" w:space="0"/>
              <w:left w:val="single" w:color="auto" w:sz="8" w:space="0"/>
              <w:bottom w:val="single" w:color="auto" w:sz="8" w:space="0"/>
              <w:right w:val="single" w:color="auto" w:sz="8" w:space="0"/>
            </w:tcBorders>
            <w:noWrap w:val="0"/>
            <w:vAlign w:val="center"/>
          </w:tcPr>
          <w:p w14:paraId="0FC07A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333" w:type="pct"/>
            <w:tcBorders>
              <w:top w:val="single" w:color="auto" w:sz="8" w:space="0"/>
              <w:left w:val="single" w:color="auto" w:sz="8" w:space="0"/>
              <w:bottom w:val="single" w:color="auto" w:sz="8" w:space="0"/>
              <w:right w:val="single" w:color="auto" w:sz="8" w:space="0"/>
            </w:tcBorders>
            <w:noWrap w:val="0"/>
            <w:vAlign w:val="center"/>
          </w:tcPr>
          <w:p w14:paraId="1F68C3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固废</w:t>
            </w:r>
          </w:p>
        </w:tc>
        <w:tc>
          <w:tcPr>
            <w:tcW w:w="1823" w:type="pct"/>
            <w:tcBorders>
              <w:top w:val="single" w:color="auto" w:sz="8" w:space="0"/>
              <w:left w:val="single" w:color="auto" w:sz="8" w:space="0"/>
              <w:bottom w:val="single" w:color="auto" w:sz="8" w:space="0"/>
              <w:right w:val="single" w:color="auto" w:sz="8" w:space="0"/>
            </w:tcBorders>
            <w:noWrap w:val="0"/>
            <w:vAlign w:val="center"/>
          </w:tcPr>
          <w:p w14:paraId="6CB1BB4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（2.3）做好工业固体废物和生活垃圾的分类收集、转运、综合利用和无害化处理，规范固体废物处理措施，对工业企业产生固体废物特别是危险固废应按国家有关规定综合利用或妥善处置，严防二次污染。</w:t>
            </w:r>
          </w:p>
        </w:tc>
        <w:tc>
          <w:tcPr>
            <w:tcW w:w="2122" w:type="pct"/>
            <w:tcBorders>
              <w:top w:val="single" w:color="auto" w:sz="8" w:space="0"/>
              <w:left w:val="single" w:color="auto" w:sz="8" w:space="0"/>
              <w:bottom w:val="single" w:color="auto" w:sz="8" w:space="0"/>
              <w:right w:val="single" w:color="auto" w:sz="8" w:space="0"/>
            </w:tcBorders>
            <w:noWrap w:val="0"/>
            <w:vAlign w:val="center"/>
          </w:tcPr>
          <w:p w14:paraId="6FE3CDD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开发区内相关企业已做好工业固体废物和生活垃圾分类收集贮存、转运、综合利用和无害化处理。开发区的生活垃圾经收集后送沅陵县生活垃圾无害化处理场处置，一般工业固体废物由各企业回收利用或暂存，危险废物由企业暂存再交有资质单位回收处理。</w:t>
            </w:r>
          </w:p>
        </w:tc>
      </w:tr>
      <w:tr w14:paraId="08090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06" w:type="pct"/>
            <w:vMerge w:val="continue"/>
            <w:tcBorders>
              <w:top w:val="single" w:color="auto" w:sz="8" w:space="0"/>
              <w:left w:val="single" w:color="auto" w:sz="8" w:space="0"/>
              <w:bottom w:val="single" w:color="auto" w:sz="8" w:space="0"/>
              <w:right w:val="single" w:color="auto" w:sz="8" w:space="0"/>
            </w:tcBorders>
            <w:noWrap w:val="0"/>
            <w:vAlign w:val="center"/>
          </w:tcPr>
          <w:p w14:paraId="2E0C86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415" w:type="pct"/>
            <w:vMerge w:val="continue"/>
            <w:tcBorders>
              <w:top w:val="single" w:color="auto" w:sz="8" w:space="0"/>
              <w:left w:val="single" w:color="auto" w:sz="8" w:space="0"/>
              <w:bottom w:val="single" w:color="auto" w:sz="8" w:space="0"/>
              <w:right w:val="single" w:color="auto" w:sz="8" w:space="0"/>
            </w:tcBorders>
            <w:noWrap w:val="0"/>
            <w:vAlign w:val="center"/>
          </w:tcPr>
          <w:p w14:paraId="0F8EB1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2156" w:type="pct"/>
            <w:gridSpan w:val="2"/>
            <w:tcBorders>
              <w:top w:val="single" w:color="auto" w:sz="8" w:space="0"/>
              <w:left w:val="single" w:color="auto" w:sz="8" w:space="0"/>
              <w:bottom w:val="single" w:color="auto" w:sz="8" w:space="0"/>
              <w:right w:val="single" w:color="auto" w:sz="8" w:space="0"/>
            </w:tcBorders>
            <w:noWrap w:val="0"/>
            <w:vAlign w:val="center"/>
          </w:tcPr>
          <w:p w14:paraId="7BF1511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（2.4）开发区内有色金属行业水污染物、大气污染物排放应满足《湖南省生态环境厅关于执行污染物特别排放限值(第一批)(第二批)的公告》中的要求。</w:t>
            </w:r>
          </w:p>
        </w:tc>
        <w:tc>
          <w:tcPr>
            <w:tcW w:w="2122" w:type="pct"/>
            <w:tcBorders>
              <w:top w:val="single" w:color="auto" w:sz="8" w:space="0"/>
              <w:left w:val="single" w:color="auto" w:sz="8" w:space="0"/>
              <w:bottom w:val="single" w:color="auto" w:sz="8" w:space="0"/>
              <w:right w:val="single" w:color="auto" w:sz="8" w:space="0"/>
            </w:tcBorders>
            <w:noWrap w:val="0"/>
            <w:vAlign w:val="center"/>
          </w:tcPr>
          <w:p w14:paraId="0D4D89B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开发区内不涉及包装印刷、水泥等行业，无涉及《湖南省生态环境厅关于执行污染物特别排放限值（第一批）的公告》中的行业。</w:t>
            </w:r>
          </w:p>
        </w:tc>
      </w:tr>
      <w:tr w14:paraId="103DE9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06" w:type="pct"/>
            <w:tcBorders>
              <w:top w:val="single" w:color="auto" w:sz="8" w:space="0"/>
              <w:left w:val="single" w:color="auto" w:sz="8" w:space="0"/>
              <w:bottom w:val="single" w:color="auto" w:sz="8" w:space="0"/>
              <w:right w:val="single" w:color="auto" w:sz="8" w:space="0"/>
            </w:tcBorders>
            <w:noWrap w:val="0"/>
            <w:vAlign w:val="center"/>
          </w:tcPr>
          <w:p w14:paraId="40D1D7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w:t>
            </w:r>
          </w:p>
        </w:tc>
        <w:tc>
          <w:tcPr>
            <w:tcW w:w="748" w:type="pct"/>
            <w:gridSpan w:val="2"/>
            <w:tcBorders>
              <w:top w:val="single" w:color="auto" w:sz="8" w:space="0"/>
              <w:left w:val="single" w:color="auto" w:sz="8" w:space="0"/>
              <w:bottom w:val="single" w:color="auto" w:sz="8" w:space="0"/>
              <w:right w:val="single" w:color="auto" w:sz="8" w:space="0"/>
            </w:tcBorders>
            <w:noWrap w:val="0"/>
            <w:vAlign w:val="center"/>
          </w:tcPr>
          <w:p w14:paraId="2A11D0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环境风险防控</w:t>
            </w:r>
          </w:p>
        </w:tc>
        <w:tc>
          <w:tcPr>
            <w:tcW w:w="1823" w:type="pct"/>
            <w:tcBorders>
              <w:top w:val="single" w:color="auto" w:sz="8" w:space="0"/>
              <w:left w:val="single" w:color="auto" w:sz="8" w:space="0"/>
              <w:bottom w:val="single" w:color="auto" w:sz="8" w:space="0"/>
              <w:right w:val="single" w:color="auto" w:sz="8" w:space="0"/>
            </w:tcBorders>
            <w:noWrap w:val="0"/>
            <w:vAlign w:val="center"/>
          </w:tcPr>
          <w:p w14:paraId="77CB058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3.1）开发区应建立健全覆盖各区块的环境风险防控体系，加强区内重要风险源管控。加强开发区危险化学品储运的环境风险管理，严格落实应急响应联动机制，确保区域环境安全。强化环境监督管理，根据沅陵产业开发区突发环境事件应急预案要求，健全环境风险事故防范措施，有计划地组织应急演练，严防环境风险事故发生。</w:t>
            </w:r>
          </w:p>
          <w:p w14:paraId="441DA01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3.2）开发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14:paraId="22AC88C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（3.3）建设用地土壤风险防控：加强对建设用地土壤环境状况调查、风险评估的监管。</w:t>
            </w:r>
          </w:p>
        </w:tc>
        <w:tc>
          <w:tcPr>
            <w:tcW w:w="2122" w:type="pct"/>
            <w:tcBorders>
              <w:top w:val="single" w:color="auto" w:sz="8" w:space="0"/>
              <w:left w:val="single" w:color="auto" w:sz="8" w:space="0"/>
              <w:bottom w:val="single" w:color="auto" w:sz="8" w:space="0"/>
              <w:right w:val="single" w:color="auto" w:sz="8" w:space="0"/>
            </w:tcBorders>
            <w:noWrap w:val="0"/>
            <w:vAlign w:val="center"/>
          </w:tcPr>
          <w:p w14:paraId="31A87C0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3.1）开发区已建立了专职环境监督管理机构，由管委会主要领导分管环保工作，设置了环保专干人员；并于2022年3月修编了突发环境事件应急预案并备案（备案编号为43122-2022-040-G）、完善了环境风险事故防范措施，储备了环境应急物资及装备，并严格按照开发区应急预案的要求每年组织开展应急演练。</w:t>
            </w:r>
          </w:p>
          <w:p w14:paraId="17762BD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（3.2）开发区已督促可能发生突发环境事件的企业进行环境应急预案编制，部分企业已完成了备案。</w:t>
            </w:r>
          </w:p>
          <w:p w14:paraId="0D2EF00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（3.3）开发区根据环境影响跟踪评价监测计划开展了土壤环境质量现状检测，根据相关检测结果，项目区域内建设用地土壤环境各项评价因子均满足《土壤环境质量 建设用地土壤污染风险管控标准》（GB36600-2018）中表1第二类用地的标准限值要求；开发区周边农用地土壤执行《土壤环境质量农用地土壤污染风险管控标准》（试行）（GB15618-2018）中风险筛选值和管控值；开发区内未涉及污染地块。</w:t>
            </w:r>
          </w:p>
        </w:tc>
      </w:tr>
      <w:tr w14:paraId="732F3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06" w:type="pct"/>
            <w:vMerge w:val="restart"/>
            <w:tcBorders>
              <w:top w:val="single" w:color="auto" w:sz="8" w:space="0"/>
              <w:left w:val="single" w:color="auto" w:sz="8" w:space="0"/>
              <w:bottom w:val="single" w:color="auto" w:sz="8" w:space="0"/>
              <w:right w:val="single" w:color="auto" w:sz="8" w:space="0"/>
            </w:tcBorders>
            <w:noWrap w:val="0"/>
            <w:vAlign w:val="center"/>
          </w:tcPr>
          <w:p w14:paraId="3C41C6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w:t>
            </w:r>
          </w:p>
        </w:tc>
        <w:tc>
          <w:tcPr>
            <w:tcW w:w="415" w:type="pct"/>
            <w:vMerge w:val="restart"/>
            <w:tcBorders>
              <w:top w:val="single" w:color="auto" w:sz="8" w:space="0"/>
              <w:left w:val="single" w:color="auto" w:sz="8" w:space="0"/>
              <w:bottom w:val="single" w:color="auto" w:sz="8" w:space="0"/>
              <w:right w:val="single" w:color="auto" w:sz="8" w:space="0"/>
            </w:tcBorders>
            <w:noWrap w:val="0"/>
            <w:vAlign w:val="center"/>
          </w:tcPr>
          <w:p w14:paraId="6F4F73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资源开发效率要求</w:t>
            </w:r>
          </w:p>
        </w:tc>
        <w:tc>
          <w:tcPr>
            <w:tcW w:w="333" w:type="pct"/>
            <w:tcBorders>
              <w:top w:val="single" w:color="auto" w:sz="8" w:space="0"/>
              <w:left w:val="single" w:color="auto" w:sz="8" w:space="0"/>
              <w:bottom w:val="single" w:color="auto" w:sz="8" w:space="0"/>
              <w:right w:val="single" w:color="auto" w:sz="8" w:space="0"/>
            </w:tcBorders>
            <w:noWrap w:val="0"/>
            <w:vAlign w:val="center"/>
          </w:tcPr>
          <w:p w14:paraId="58BE19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能源</w:t>
            </w:r>
          </w:p>
        </w:tc>
        <w:tc>
          <w:tcPr>
            <w:tcW w:w="1823" w:type="pct"/>
            <w:tcBorders>
              <w:top w:val="single" w:color="auto" w:sz="8" w:space="0"/>
              <w:left w:val="single" w:color="auto" w:sz="8" w:space="0"/>
              <w:bottom w:val="single" w:color="auto" w:sz="8" w:space="0"/>
              <w:right w:val="single" w:color="auto" w:sz="8" w:space="0"/>
            </w:tcBorders>
            <w:noWrap w:val="0"/>
            <w:vAlign w:val="center"/>
          </w:tcPr>
          <w:p w14:paraId="7F99C51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（4.1）完善能耗双控制度。强化能耗强度降低约束性指标管理，有效增强能源消费总量管理弹性，加强能耗双控政策与碳达峰碳中和目标任务的衔接。</w:t>
            </w:r>
          </w:p>
        </w:tc>
        <w:tc>
          <w:tcPr>
            <w:tcW w:w="2122" w:type="pct"/>
            <w:tcBorders>
              <w:top w:val="single" w:color="auto" w:sz="8" w:space="0"/>
              <w:left w:val="single" w:color="auto" w:sz="8" w:space="0"/>
              <w:bottom w:val="single" w:color="auto" w:sz="8" w:space="0"/>
              <w:right w:val="single" w:color="auto" w:sz="8" w:space="0"/>
            </w:tcBorders>
            <w:noWrap w:val="0"/>
            <w:vAlign w:val="center"/>
          </w:tcPr>
          <w:p w14:paraId="7AE1101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开发区已实施能源消耗总量和强度双控行动，建立了用能预算管理体系，编制了用能预算管理方案。并编制完成了《沅陵产业开发区区域节能报告》。</w:t>
            </w:r>
          </w:p>
          <w:p w14:paraId="42D0A14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开发区内企业采用电、天然气等清洁能源，完善区域内天然气供应管网、集中供热设施及管网的建设，禁止入驻企业使用燃煤、重油等非清洁能源，目前开发区内已无燃煤企业。</w:t>
            </w:r>
          </w:p>
        </w:tc>
      </w:tr>
      <w:tr w14:paraId="25E1C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06" w:type="pct"/>
            <w:vMerge w:val="continue"/>
            <w:tcBorders>
              <w:top w:val="single" w:color="auto" w:sz="8" w:space="0"/>
              <w:left w:val="single" w:color="auto" w:sz="8" w:space="0"/>
              <w:bottom w:val="single" w:color="auto" w:sz="8" w:space="0"/>
              <w:right w:val="single" w:color="auto" w:sz="8" w:space="0"/>
            </w:tcBorders>
            <w:noWrap w:val="0"/>
            <w:vAlign w:val="center"/>
          </w:tcPr>
          <w:p w14:paraId="6BDAA1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415" w:type="pct"/>
            <w:vMerge w:val="continue"/>
            <w:tcBorders>
              <w:top w:val="single" w:color="auto" w:sz="8" w:space="0"/>
              <w:left w:val="single" w:color="auto" w:sz="8" w:space="0"/>
              <w:bottom w:val="single" w:color="auto" w:sz="8" w:space="0"/>
              <w:right w:val="single" w:color="auto" w:sz="8" w:space="0"/>
            </w:tcBorders>
            <w:noWrap w:val="0"/>
            <w:vAlign w:val="center"/>
          </w:tcPr>
          <w:p w14:paraId="1CC9F4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333" w:type="pct"/>
            <w:tcBorders>
              <w:top w:val="single" w:color="auto" w:sz="8" w:space="0"/>
              <w:left w:val="single" w:color="auto" w:sz="8" w:space="0"/>
              <w:bottom w:val="single" w:color="auto" w:sz="8" w:space="0"/>
              <w:right w:val="single" w:color="auto" w:sz="8" w:space="0"/>
            </w:tcBorders>
            <w:noWrap w:val="0"/>
            <w:vAlign w:val="center"/>
          </w:tcPr>
          <w:p w14:paraId="3E00AB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水资源</w:t>
            </w:r>
          </w:p>
        </w:tc>
        <w:tc>
          <w:tcPr>
            <w:tcW w:w="1823" w:type="pct"/>
            <w:tcBorders>
              <w:top w:val="single" w:color="auto" w:sz="8" w:space="0"/>
              <w:left w:val="single" w:color="auto" w:sz="8" w:space="0"/>
              <w:bottom w:val="single" w:color="auto" w:sz="8" w:space="0"/>
              <w:right w:val="single" w:color="auto" w:sz="8" w:space="0"/>
            </w:tcBorders>
            <w:noWrap w:val="0"/>
            <w:vAlign w:val="center"/>
          </w:tcPr>
          <w:p w14:paraId="1A623EE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4.2.1）开发区强调建设节水型工业，以降低生产成本和资源。一方面要对工业用水坚持按照定额用水，实行计划用水管理另一方面要建立循环用水体系，鼓励企业实施污水处理工程，实现循环用水，强化中水利用，提高水的重复利用率。</w:t>
            </w:r>
          </w:p>
          <w:p w14:paraId="439863A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（4.2.2）加强水资源管理，切实合理开发利用和节约保护水资源。到2025年，沅陵县用水总量控制在1.9616亿立方米以下,万元工业增加值用水量比2020年下降7.30%。</w:t>
            </w:r>
          </w:p>
        </w:tc>
        <w:tc>
          <w:tcPr>
            <w:tcW w:w="2122" w:type="pct"/>
            <w:tcBorders>
              <w:top w:val="single" w:color="auto" w:sz="8" w:space="0"/>
              <w:left w:val="single" w:color="auto" w:sz="8" w:space="0"/>
              <w:bottom w:val="single" w:color="auto" w:sz="8" w:space="0"/>
              <w:right w:val="single" w:color="auto" w:sz="8" w:space="0"/>
            </w:tcBorders>
            <w:noWrap w:val="0"/>
            <w:vAlign w:val="center"/>
          </w:tcPr>
          <w:p w14:paraId="09A6B82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（4.2.1）开发区鼓励企业选用选择节水工艺，废水深度处理、循环利用，鼓励一水多用和中水回用，提高水的重复利用率，减少废水排放量。</w:t>
            </w:r>
          </w:p>
          <w:p w14:paraId="64B47BD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（4.2.2）开发区加强水资源管理，切实合理开发利用和节约保护水资源。目前，园区万元工业增加值用水量比2020年下降7.30%。</w:t>
            </w:r>
          </w:p>
        </w:tc>
      </w:tr>
      <w:tr w14:paraId="249AF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06" w:type="pct"/>
            <w:vMerge w:val="continue"/>
            <w:tcBorders>
              <w:top w:val="single" w:color="auto" w:sz="8" w:space="0"/>
              <w:left w:val="single" w:color="auto" w:sz="8" w:space="0"/>
              <w:bottom w:val="single" w:color="auto" w:sz="8" w:space="0"/>
              <w:right w:val="single" w:color="auto" w:sz="8" w:space="0"/>
            </w:tcBorders>
            <w:noWrap w:val="0"/>
            <w:vAlign w:val="center"/>
          </w:tcPr>
          <w:p w14:paraId="0D5322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415" w:type="pct"/>
            <w:vMerge w:val="continue"/>
            <w:tcBorders>
              <w:top w:val="single" w:color="auto" w:sz="8" w:space="0"/>
              <w:left w:val="single" w:color="auto" w:sz="8" w:space="0"/>
              <w:bottom w:val="single" w:color="auto" w:sz="8" w:space="0"/>
              <w:right w:val="single" w:color="auto" w:sz="8" w:space="0"/>
            </w:tcBorders>
            <w:noWrap w:val="0"/>
            <w:vAlign w:val="center"/>
          </w:tcPr>
          <w:p w14:paraId="5A6134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p>
        </w:tc>
        <w:tc>
          <w:tcPr>
            <w:tcW w:w="333" w:type="pct"/>
            <w:tcBorders>
              <w:top w:val="single" w:color="auto" w:sz="8" w:space="0"/>
              <w:left w:val="single" w:color="auto" w:sz="8" w:space="0"/>
              <w:bottom w:val="single" w:color="auto" w:sz="8" w:space="0"/>
              <w:right w:val="single" w:color="auto" w:sz="8" w:space="0"/>
            </w:tcBorders>
            <w:noWrap w:val="0"/>
            <w:vAlign w:val="center"/>
          </w:tcPr>
          <w:p w14:paraId="1EE5BE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土地资源</w:t>
            </w:r>
          </w:p>
        </w:tc>
        <w:tc>
          <w:tcPr>
            <w:tcW w:w="1823" w:type="pct"/>
            <w:tcBorders>
              <w:top w:val="single" w:color="auto" w:sz="8" w:space="0"/>
              <w:left w:val="single" w:color="auto" w:sz="8" w:space="0"/>
              <w:bottom w:val="single" w:color="auto" w:sz="8" w:space="0"/>
              <w:right w:val="single" w:color="auto" w:sz="8" w:space="0"/>
            </w:tcBorders>
            <w:noWrap w:val="0"/>
            <w:vAlign w:val="center"/>
          </w:tcPr>
          <w:p w14:paraId="219AA97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4.3）在详细规划编制、用地预审与选址、用地报批、土地出让、规划许可、竣工验收等环节，全面推行工业项目建设用地引导指标和工业项目供地负面清单管理，省级产业开发区工业用地固定资产投入强度达到220万元/亩，工业用地地均税收13万元/亩。</w:t>
            </w:r>
          </w:p>
        </w:tc>
        <w:tc>
          <w:tcPr>
            <w:tcW w:w="2122" w:type="pct"/>
            <w:tcBorders>
              <w:top w:val="single" w:color="auto" w:sz="8" w:space="0"/>
              <w:left w:val="single" w:color="auto" w:sz="8" w:space="0"/>
              <w:bottom w:val="single" w:color="auto" w:sz="8" w:space="0"/>
              <w:right w:val="single" w:color="auto" w:sz="8" w:space="0"/>
            </w:tcBorders>
            <w:noWrap w:val="0"/>
            <w:vAlign w:val="center"/>
          </w:tcPr>
          <w:p w14:paraId="2DA52AD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开发区在企业详细规划编制、用地预审与选址、用地报批、土地出让、规划许可、竣工验收等环节，已全面推行工业项目建设用地引导指标和工业项目供地负面清单管理。</w:t>
            </w:r>
          </w:p>
        </w:tc>
      </w:tr>
    </w:tbl>
    <w:p w14:paraId="3C310387">
      <w:pPr>
        <w:bidi w:val="0"/>
        <w:rPr>
          <w:rFonts w:hint="default"/>
          <w:lang w:val="en-US" w:eastAsia="zh-CN"/>
        </w:rPr>
      </w:pPr>
      <w:r>
        <w:rPr>
          <w:rFonts w:hint="default"/>
          <w:lang w:val="en-US" w:eastAsia="zh-CN"/>
        </w:rPr>
        <w:t>20</w:t>
      </w:r>
      <w:r>
        <w:rPr>
          <w:rFonts w:hint="eastAsia"/>
          <w:lang w:val="en-US" w:eastAsia="zh-CN"/>
        </w:rPr>
        <w:t>24</w:t>
      </w:r>
      <w:r>
        <w:rPr>
          <w:rFonts w:hint="default"/>
          <w:lang w:val="en-US" w:eastAsia="zh-CN"/>
        </w:rPr>
        <w:t>年，沅陵产业开发区根据《湖南省人民政府关于实施</w:t>
      </w:r>
      <w:r>
        <w:rPr>
          <w:rFonts w:hint="eastAsia"/>
          <w:lang w:val="en-US" w:eastAsia="zh-CN"/>
        </w:rPr>
        <w:t>“</w:t>
      </w:r>
      <w:r>
        <w:rPr>
          <w:rFonts w:hint="default"/>
          <w:lang w:val="en-US" w:eastAsia="zh-CN"/>
        </w:rPr>
        <w:t>三线一单</w:t>
      </w:r>
      <w:r>
        <w:rPr>
          <w:rFonts w:hint="eastAsia"/>
          <w:lang w:val="en-US" w:eastAsia="zh-CN"/>
        </w:rPr>
        <w:t>”</w:t>
      </w:r>
      <w:r>
        <w:rPr>
          <w:rFonts w:hint="default"/>
          <w:lang w:val="en-US" w:eastAsia="zh-CN"/>
        </w:rPr>
        <w:t>生态环境分区管控的意见》《湖南省</w:t>
      </w:r>
      <w:r>
        <w:rPr>
          <w:rFonts w:hint="eastAsia"/>
          <w:lang w:val="en-US" w:eastAsia="zh-CN"/>
        </w:rPr>
        <w:t>“</w:t>
      </w:r>
      <w:r>
        <w:rPr>
          <w:rFonts w:hint="default"/>
          <w:lang w:val="en-US" w:eastAsia="zh-CN"/>
        </w:rPr>
        <w:t>三线一单</w:t>
      </w:r>
      <w:r>
        <w:rPr>
          <w:rFonts w:hint="eastAsia"/>
          <w:lang w:val="en-US" w:eastAsia="zh-CN"/>
        </w:rPr>
        <w:t>”</w:t>
      </w:r>
      <w:r>
        <w:rPr>
          <w:rFonts w:hint="default"/>
          <w:lang w:val="en-US" w:eastAsia="zh-CN"/>
        </w:rPr>
        <w:t>生态环境总体管控要求既省级以上产业园区生态环境准入清单》开展自查并严格落实和执行</w:t>
      </w:r>
      <w:r>
        <w:rPr>
          <w:rFonts w:hint="eastAsia"/>
          <w:lang w:val="en-US" w:eastAsia="zh-CN"/>
        </w:rPr>
        <w:t>“</w:t>
      </w:r>
      <w:r>
        <w:rPr>
          <w:rFonts w:hint="default"/>
          <w:lang w:val="en-US" w:eastAsia="zh-CN"/>
        </w:rPr>
        <w:t>三线一单</w:t>
      </w:r>
      <w:r>
        <w:rPr>
          <w:rFonts w:hint="eastAsia"/>
          <w:lang w:val="en-US" w:eastAsia="zh-CN"/>
        </w:rPr>
        <w:t>”</w:t>
      </w:r>
      <w:r>
        <w:rPr>
          <w:rFonts w:hint="default"/>
          <w:lang w:val="en-US" w:eastAsia="zh-CN"/>
        </w:rPr>
        <w:t>的相关管控要求，在园区招商引资过程中，用</w:t>
      </w:r>
      <w:r>
        <w:rPr>
          <w:rFonts w:hint="eastAsia"/>
          <w:lang w:val="en-US" w:eastAsia="zh-CN"/>
        </w:rPr>
        <w:t>“</w:t>
      </w:r>
      <w:r>
        <w:rPr>
          <w:rFonts w:hint="default"/>
          <w:lang w:val="en-US" w:eastAsia="zh-CN"/>
        </w:rPr>
        <w:t>线</w:t>
      </w:r>
      <w:r>
        <w:rPr>
          <w:rFonts w:hint="eastAsia"/>
          <w:lang w:val="en-US" w:eastAsia="zh-CN"/>
        </w:rPr>
        <w:t>”</w:t>
      </w:r>
      <w:r>
        <w:rPr>
          <w:rFonts w:hint="default"/>
          <w:lang w:val="en-US" w:eastAsia="zh-CN"/>
        </w:rPr>
        <w:t>管住空间布局、用</w:t>
      </w:r>
      <w:r>
        <w:rPr>
          <w:rFonts w:hint="eastAsia"/>
          <w:lang w:val="en-US" w:eastAsia="zh-CN"/>
        </w:rPr>
        <w:t>“</w:t>
      </w:r>
      <w:r>
        <w:rPr>
          <w:rFonts w:hint="default"/>
          <w:lang w:val="en-US" w:eastAsia="zh-CN"/>
        </w:rPr>
        <w:t>单</w:t>
      </w:r>
      <w:r>
        <w:rPr>
          <w:rFonts w:hint="eastAsia"/>
          <w:lang w:val="en-US" w:eastAsia="zh-CN"/>
        </w:rPr>
        <w:t>”</w:t>
      </w:r>
      <w:r>
        <w:rPr>
          <w:rFonts w:hint="default"/>
          <w:lang w:val="en-US" w:eastAsia="zh-CN"/>
        </w:rPr>
        <w:t>规范发展行为，禁止高污染、高耗能企业进入，推动绿色高质量项目加快落地，不断优化产业结构和空间布局。</w:t>
      </w:r>
    </w:p>
    <w:p w14:paraId="73C44253">
      <w:pPr>
        <w:bidi w:val="0"/>
        <w:rPr>
          <w:rFonts w:hint="default"/>
          <w:lang w:val="en-US" w:eastAsia="zh-CN"/>
        </w:rPr>
      </w:pPr>
      <w:r>
        <w:rPr>
          <w:rFonts w:hint="default"/>
          <w:lang w:val="en-US" w:eastAsia="zh-CN"/>
        </w:rPr>
        <w:t>目前，园区主要在项目入园、企业选址、环评审批、排污许可、日常环境监管工作推进等方面对照</w:t>
      </w:r>
      <w:r>
        <w:rPr>
          <w:rFonts w:hint="eastAsia"/>
          <w:lang w:val="en-US" w:eastAsia="zh-CN"/>
        </w:rPr>
        <w:t>“</w:t>
      </w:r>
      <w:r>
        <w:rPr>
          <w:rFonts w:hint="default"/>
          <w:lang w:val="en-US" w:eastAsia="zh-CN"/>
        </w:rPr>
        <w:t>三线一单</w:t>
      </w:r>
      <w:r>
        <w:rPr>
          <w:rFonts w:hint="eastAsia"/>
          <w:lang w:val="en-US" w:eastAsia="zh-CN"/>
        </w:rPr>
        <w:t>”</w:t>
      </w:r>
      <w:r>
        <w:rPr>
          <w:rFonts w:hint="default"/>
          <w:lang w:val="en-US" w:eastAsia="zh-CN"/>
        </w:rPr>
        <w:t>生态环境管控要求落实应用</w:t>
      </w:r>
      <w:r>
        <w:rPr>
          <w:rFonts w:hint="eastAsia"/>
          <w:lang w:val="en-US" w:eastAsia="zh-CN"/>
        </w:rPr>
        <w:t>。</w:t>
      </w:r>
    </w:p>
    <w:p w14:paraId="6A9749A3">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1"/>
        <w:rPr>
          <w:rFonts w:hint="default"/>
          <w:b/>
          <w:bCs/>
          <w:lang w:val="en-US" w:eastAsia="zh-CN"/>
        </w:rPr>
      </w:pPr>
      <w:bookmarkStart w:id="4" w:name="_Toc14445"/>
      <w:r>
        <w:rPr>
          <w:rFonts w:hint="default"/>
          <w:b/>
          <w:bCs/>
          <w:lang w:val="en-US" w:eastAsia="zh-CN"/>
        </w:rPr>
        <w:t>（三）水环境管理</w:t>
      </w:r>
      <w:bookmarkEnd w:id="4"/>
    </w:p>
    <w:p w14:paraId="44E527C3">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default"/>
          <w:b/>
          <w:bCs/>
          <w:lang w:val="en-US" w:eastAsia="zh-CN"/>
        </w:rPr>
      </w:pPr>
      <w:r>
        <w:rPr>
          <w:rFonts w:hint="eastAsia"/>
          <w:b/>
          <w:bCs/>
          <w:lang w:val="en-US" w:eastAsia="zh-CN"/>
        </w:rPr>
        <w:t>1、</w:t>
      </w:r>
      <w:r>
        <w:rPr>
          <w:rFonts w:hint="default"/>
          <w:b/>
          <w:bCs/>
          <w:lang w:val="en-US" w:eastAsia="zh-CN"/>
        </w:rPr>
        <w:t>污水处理设施建设情况</w:t>
      </w:r>
    </w:p>
    <w:p w14:paraId="2A1612E8">
      <w:pPr>
        <w:bidi w:val="0"/>
        <w:rPr>
          <w:rFonts w:hint="default"/>
          <w:lang w:val="en-US" w:eastAsia="zh-CN"/>
        </w:rPr>
      </w:pPr>
      <w:r>
        <w:rPr>
          <w:rFonts w:hint="default"/>
          <w:lang w:val="en-US" w:eastAsia="zh-CN"/>
        </w:rPr>
        <w:t>园区配套集中污水处理设施1个，园区污水管网覆盖率为100%，集中污水处理设施名称为沅陵产业开发区污水处理厂，总设计处理规模15000m³/d（目前一期工程已建成并验收，工程占地面积3600m</w:t>
      </w:r>
      <w:r>
        <w:rPr>
          <w:rFonts w:hint="default"/>
          <w:vertAlign w:val="superscript"/>
          <w:lang w:val="en-US" w:eastAsia="zh-CN"/>
        </w:rPr>
        <w:t>2</w:t>
      </w:r>
      <w:r>
        <w:rPr>
          <w:rFonts w:hint="default"/>
          <w:lang w:val="en-US" w:eastAsia="zh-CN"/>
        </w:rPr>
        <w:t>，设计处理规模500m</w:t>
      </w:r>
      <w:r>
        <w:rPr>
          <w:rFonts w:hint="default"/>
          <w:vertAlign w:val="superscript"/>
          <w:lang w:val="en-US" w:eastAsia="zh-CN"/>
        </w:rPr>
        <w:t>3</w:t>
      </w:r>
      <w:r>
        <w:rPr>
          <w:rFonts w:hint="default"/>
          <w:lang w:val="en-US" w:eastAsia="zh-CN"/>
        </w:rPr>
        <w:t>/d，二期阶段性工程设计处理规模1000m</w:t>
      </w:r>
      <w:r>
        <w:rPr>
          <w:rFonts w:hint="default"/>
          <w:vertAlign w:val="superscript"/>
          <w:lang w:val="en-US" w:eastAsia="zh-CN"/>
        </w:rPr>
        <w:t>3</w:t>
      </w:r>
      <w:r>
        <w:rPr>
          <w:rFonts w:hint="default"/>
          <w:lang w:val="en-US" w:eastAsia="zh-CN"/>
        </w:rPr>
        <w:t>/d，已建成并验收，目前总设计处理规模1500m</w:t>
      </w:r>
      <w:r>
        <w:rPr>
          <w:rFonts w:hint="default"/>
          <w:vertAlign w:val="superscript"/>
          <w:lang w:val="en-US" w:eastAsia="zh-CN"/>
        </w:rPr>
        <w:t>3</w:t>
      </w:r>
      <w:r>
        <w:rPr>
          <w:rFonts w:hint="default"/>
          <w:lang w:val="en-US" w:eastAsia="zh-CN"/>
        </w:rPr>
        <w:t>/d。一期工程处理工艺为FMBR兼氧膜技术工艺。二期工程处理工艺为A</w:t>
      </w:r>
      <w:r>
        <w:rPr>
          <w:rFonts w:hint="default"/>
          <w:vertAlign w:val="subscript"/>
          <w:lang w:val="en-US" w:eastAsia="zh-CN"/>
        </w:rPr>
        <w:t>2</w:t>
      </w:r>
      <w:r>
        <w:rPr>
          <w:rFonts w:hint="default"/>
          <w:lang w:val="en-US" w:eastAsia="zh-CN"/>
        </w:rPr>
        <w:t>O+MBR组合工艺）。主要设备有：沉砂池、调节池、混凝沉淀池及水解酸化池、CASS池、芬顿预处理系统、超滤-反渗透深度处理系统和污泥脱水机等设施设备，处理后尾水排放需达到《城镇污水处理厂污染物排放标准》（GB18918-2002）一级B标准后排入蓝溪河，并最终排入沅水。进口安装COD、氨氮在线自动监控设备，总排口安装有COD、氨氮、PH、总氮、总磷等在线自动监控设备并验收联网，在线监测达标率100%，园区雨水管网覆盖率100%。</w:t>
      </w:r>
    </w:p>
    <w:p w14:paraId="7E51289D">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default"/>
          <w:b/>
          <w:bCs/>
          <w:lang w:val="en-US" w:eastAsia="zh-CN"/>
        </w:rPr>
      </w:pPr>
      <w:r>
        <w:rPr>
          <w:rFonts w:hint="eastAsia"/>
          <w:b/>
          <w:bCs/>
          <w:lang w:val="en-US" w:eastAsia="zh-CN"/>
        </w:rPr>
        <w:t>2、</w:t>
      </w:r>
      <w:r>
        <w:rPr>
          <w:rFonts w:hint="default"/>
          <w:b/>
          <w:bCs/>
          <w:lang w:val="en-US" w:eastAsia="zh-CN"/>
        </w:rPr>
        <w:t>涉水企业管理</w:t>
      </w:r>
    </w:p>
    <w:p w14:paraId="23CC4FFD">
      <w:pPr>
        <w:bidi w:val="0"/>
        <w:rPr>
          <w:rFonts w:hint="default"/>
          <w:highlight w:val="none"/>
          <w:lang w:val="en-US" w:eastAsia="zh-CN"/>
        </w:rPr>
      </w:pPr>
      <w:r>
        <w:rPr>
          <w:rFonts w:hint="default"/>
          <w:highlight w:val="none"/>
          <w:lang w:val="en-US" w:eastAsia="zh-CN"/>
        </w:rPr>
        <w:t>（1）</w:t>
      </w:r>
      <w:r>
        <w:rPr>
          <w:rFonts w:hint="eastAsia"/>
          <w:highlight w:val="none"/>
          <w:lang w:val="en-US" w:eastAsia="zh-CN"/>
        </w:rPr>
        <w:t>2024</w:t>
      </w:r>
      <w:r>
        <w:rPr>
          <w:rFonts w:hint="default"/>
          <w:highlight w:val="none"/>
          <w:lang w:val="en-US" w:eastAsia="zh-CN"/>
        </w:rPr>
        <w:t>年度园区废水总排放量</w:t>
      </w:r>
      <w:r>
        <w:rPr>
          <w:rFonts w:hint="eastAsia"/>
          <w:highlight w:val="none"/>
          <w:lang w:val="en-US" w:eastAsia="zh-CN"/>
        </w:rPr>
        <w:t>323000</w:t>
      </w:r>
      <w:r>
        <w:rPr>
          <w:rFonts w:hint="default"/>
          <w:highlight w:val="none"/>
          <w:lang w:val="en-US" w:eastAsia="zh-CN"/>
        </w:rPr>
        <w:t>m</w:t>
      </w:r>
      <w:r>
        <w:rPr>
          <w:rFonts w:hint="default"/>
          <w:highlight w:val="none"/>
          <w:vertAlign w:val="superscript"/>
          <w:lang w:val="en-US" w:eastAsia="zh-CN"/>
        </w:rPr>
        <w:t>3</w:t>
      </w:r>
      <w:r>
        <w:rPr>
          <w:rFonts w:hint="default"/>
          <w:highlight w:val="none"/>
          <w:lang w:val="en-US" w:eastAsia="zh-CN"/>
        </w:rPr>
        <w:t>/a，园区内涉及工业废水企业数量</w:t>
      </w:r>
      <w:r>
        <w:rPr>
          <w:rFonts w:hint="eastAsia"/>
          <w:highlight w:val="none"/>
          <w:lang w:val="en-US" w:eastAsia="zh-CN"/>
        </w:rPr>
        <w:t>5</w:t>
      </w:r>
      <w:r>
        <w:rPr>
          <w:rFonts w:hint="default"/>
          <w:highlight w:val="none"/>
          <w:lang w:val="en-US" w:eastAsia="zh-CN"/>
        </w:rPr>
        <w:t>家，外排污水纳管企业数量</w:t>
      </w:r>
      <w:r>
        <w:rPr>
          <w:rFonts w:hint="eastAsia"/>
          <w:highlight w:val="none"/>
          <w:lang w:val="en-US" w:eastAsia="zh-CN"/>
        </w:rPr>
        <w:t>19</w:t>
      </w:r>
      <w:r>
        <w:rPr>
          <w:rFonts w:hint="default"/>
          <w:highlight w:val="none"/>
          <w:lang w:val="en-US" w:eastAsia="zh-CN"/>
        </w:rPr>
        <w:t>家，污水集中处理比例100%。</w:t>
      </w:r>
    </w:p>
    <w:p w14:paraId="0BF2DBEC">
      <w:pPr>
        <w:bidi w:val="0"/>
        <w:rPr>
          <w:rFonts w:hint="default"/>
          <w:highlight w:val="none"/>
          <w:lang w:val="en-US" w:eastAsia="zh-CN"/>
        </w:rPr>
      </w:pPr>
      <w:r>
        <w:rPr>
          <w:rFonts w:hint="default"/>
          <w:highlight w:val="none"/>
          <w:lang w:val="en-US" w:eastAsia="zh-CN"/>
        </w:rPr>
        <w:t>（2）园区年度水污染物总排放量：化学需氧量</w:t>
      </w:r>
      <w:r>
        <w:rPr>
          <w:rFonts w:hint="eastAsia"/>
          <w:highlight w:val="none"/>
          <w:lang w:val="en-US" w:eastAsia="zh-CN"/>
        </w:rPr>
        <w:t>8.03</w:t>
      </w:r>
      <w:r>
        <w:rPr>
          <w:rFonts w:hint="default"/>
          <w:highlight w:val="none"/>
          <w:lang w:val="en-US" w:eastAsia="zh-CN"/>
        </w:rPr>
        <w:t>t/a，氨氮</w:t>
      </w:r>
      <w:r>
        <w:rPr>
          <w:rFonts w:hint="eastAsia"/>
          <w:highlight w:val="none"/>
          <w:lang w:val="en-US" w:eastAsia="zh-CN"/>
        </w:rPr>
        <w:t>1.08</w:t>
      </w:r>
      <w:r>
        <w:rPr>
          <w:rFonts w:hint="default"/>
          <w:highlight w:val="none"/>
          <w:lang w:val="en-US" w:eastAsia="zh-CN"/>
        </w:rPr>
        <w:t>t/a，总氮</w:t>
      </w:r>
      <w:r>
        <w:rPr>
          <w:rFonts w:hint="eastAsia"/>
          <w:highlight w:val="none"/>
          <w:lang w:val="en-US" w:eastAsia="zh-CN"/>
        </w:rPr>
        <w:t>1.25</w:t>
      </w:r>
      <w:r>
        <w:rPr>
          <w:rFonts w:hint="default"/>
          <w:highlight w:val="none"/>
          <w:lang w:val="en-US" w:eastAsia="zh-CN"/>
        </w:rPr>
        <w:t>t/a，总磷</w:t>
      </w:r>
      <w:r>
        <w:rPr>
          <w:rFonts w:hint="eastAsia"/>
          <w:highlight w:val="none"/>
          <w:lang w:val="en-US" w:eastAsia="zh-CN"/>
        </w:rPr>
        <w:t>0.04</w:t>
      </w:r>
      <w:r>
        <w:rPr>
          <w:rFonts w:hint="default"/>
          <w:highlight w:val="none"/>
          <w:lang w:val="en-US" w:eastAsia="zh-CN"/>
        </w:rPr>
        <w:t>t/a。园区污水处理厂排污口下游最近的地表水水质监测断面为河涨洲断面，水功能区划Ⅲ类，监测达标率100%，无超标因子。</w:t>
      </w:r>
    </w:p>
    <w:p w14:paraId="3274874A">
      <w:pPr>
        <w:bidi w:val="0"/>
        <w:rPr>
          <w:rFonts w:hint="default"/>
          <w:b w:val="0"/>
          <w:bCs w:val="0"/>
          <w:lang w:val="en-US" w:eastAsia="zh-CN"/>
        </w:rPr>
      </w:pPr>
      <w:r>
        <w:rPr>
          <w:rFonts w:hint="default"/>
          <w:b w:val="0"/>
          <w:bCs w:val="0"/>
          <w:lang w:val="en-US" w:eastAsia="zh-CN"/>
        </w:rPr>
        <w:t>（3）园区内不涉及一类水污染排放的企业。</w:t>
      </w:r>
    </w:p>
    <w:p w14:paraId="2AE5B455">
      <w:pPr>
        <w:bidi w:val="0"/>
        <w:rPr>
          <w:rFonts w:hint="default"/>
          <w:b/>
          <w:bCs/>
          <w:lang w:val="en-US" w:eastAsia="zh-CN"/>
        </w:rPr>
      </w:pPr>
      <w:r>
        <w:rPr>
          <w:rFonts w:hint="eastAsia"/>
          <w:b/>
          <w:bCs/>
          <w:lang w:val="en-US" w:eastAsia="zh-CN"/>
        </w:rPr>
        <w:t>3、“</w:t>
      </w:r>
      <w:r>
        <w:rPr>
          <w:rFonts w:hint="default"/>
          <w:b/>
          <w:bCs/>
          <w:lang w:val="en-US" w:eastAsia="zh-CN"/>
        </w:rPr>
        <w:t>双源</w:t>
      </w:r>
      <w:r>
        <w:rPr>
          <w:rFonts w:hint="eastAsia"/>
          <w:b/>
          <w:bCs/>
          <w:lang w:val="en-US" w:eastAsia="zh-CN"/>
        </w:rPr>
        <w:t>”</w:t>
      </w:r>
      <w:r>
        <w:rPr>
          <w:rFonts w:hint="default"/>
          <w:b/>
          <w:bCs/>
          <w:lang w:val="en-US" w:eastAsia="zh-CN"/>
        </w:rPr>
        <w:t>地下水建设及监测情况</w:t>
      </w:r>
    </w:p>
    <w:p w14:paraId="38F70A5B">
      <w:pPr>
        <w:bidi w:val="0"/>
        <w:rPr>
          <w:rFonts w:hint="default"/>
          <w:lang w:val="en-US" w:eastAsia="zh-CN"/>
        </w:rPr>
      </w:pPr>
      <w:r>
        <w:rPr>
          <w:rFonts w:hint="default"/>
          <w:lang w:val="en-US" w:eastAsia="zh-CN"/>
        </w:rPr>
        <w:t>园区范围内地表水主要为蓝溪河，地下水为园区范围内及周边500m潜水层，根据</w:t>
      </w:r>
      <w:r>
        <w:rPr>
          <w:rFonts w:hint="eastAsia"/>
          <w:lang w:val="en-US" w:eastAsia="zh-CN"/>
        </w:rPr>
        <w:t>“</w:t>
      </w:r>
      <w:r>
        <w:rPr>
          <w:rFonts w:hint="default"/>
          <w:lang w:val="en-US" w:eastAsia="zh-CN"/>
        </w:rPr>
        <w:t>双源</w:t>
      </w:r>
      <w:r>
        <w:rPr>
          <w:rFonts w:hint="eastAsia"/>
          <w:lang w:val="en-US" w:eastAsia="zh-CN"/>
        </w:rPr>
        <w:t>”</w:t>
      </w:r>
      <w:r>
        <w:rPr>
          <w:rFonts w:hint="default"/>
          <w:lang w:val="en-US" w:eastAsia="zh-CN"/>
        </w:rPr>
        <w:t>地下水定义标准，园区不涉及</w:t>
      </w:r>
      <w:r>
        <w:rPr>
          <w:rFonts w:hint="eastAsia"/>
          <w:lang w:val="en-US" w:eastAsia="zh-CN"/>
        </w:rPr>
        <w:t>“</w:t>
      </w:r>
      <w:r>
        <w:rPr>
          <w:rFonts w:hint="default"/>
          <w:lang w:val="en-US" w:eastAsia="zh-CN"/>
        </w:rPr>
        <w:t>双源</w:t>
      </w:r>
      <w:r>
        <w:rPr>
          <w:rFonts w:hint="eastAsia"/>
          <w:lang w:val="en-US" w:eastAsia="zh-CN"/>
        </w:rPr>
        <w:t>”</w:t>
      </w:r>
      <w:r>
        <w:rPr>
          <w:rFonts w:hint="default"/>
          <w:lang w:val="en-US" w:eastAsia="zh-CN"/>
        </w:rPr>
        <w:t>地下水监测需求。</w:t>
      </w:r>
    </w:p>
    <w:p w14:paraId="36926686">
      <w:pPr>
        <w:bidi w:val="0"/>
        <w:rPr>
          <w:rFonts w:hint="default"/>
          <w:b/>
          <w:bCs/>
          <w:lang w:val="en-US" w:eastAsia="zh-CN"/>
        </w:rPr>
      </w:pPr>
      <w:r>
        <w:rPr>
          <w:rFonts w:hint="eastAsia"/>
          <w:b/>
          <w:bCs/>
          <w:lang w:val="en-US" w:eastAsia="zh-CN"/>
        </w:rPr>
        <w:t>4、</w:t>
      </w:r>
      <w:r>
        <w:rPr>
          <w:rFonts w:hint="default"/>
          <w:b/>
          <w:bCs/>
          <w:lang w:val="en-US" w:eastAsia="zh-CN"/>
        </w:rPr>
        <w:t>黑臭水体整治</w:t>
      </w:r>
    </w:p>
    <w:p w14:paraId="11245FBA">
      <w:pPr>
        <w:bidi w:val="0"/>
        <w:rPr>
          <w:rFonts w:hint="default"/>
          <w:lang w:val="en-US" w:eastAsia="zh-CN"/>
        </w:rPr>
      </w:pPr>
      <w:r>
        <w:rPr>
          <w:rFonts w:hint="default"/>
          <w:lang w:val="en-US" w:eastAsia="zh-CN"/>
        </w:rPr>
        <w:t>园区不涉及黑臭水体。</w:t>
      </w:r>
    </w:p>
    <w:p w14:paraId="397B7D38">
      <w:pPr>
        <w:bidi w:val="0"/>
        <w:outlineLvl w:val="1"/>
        <w:rPr>
          <w:rFonts w:hint="default"/>
          <w:b/>
          <w:bCs/>
          <w:lang w:val="en-US" w:eastAsia="zh-CN"/>
        </w:rPr>
      </w:pPr>
      <w:bookmarkStart w:id="5" w:name="_Toc19750"/>
      <w:r>
        <w:rPr>
          <w:rFonts w:hint="default"/>
          <w:b/>
          <w:bCs/>
          <w:lang w:val="en-US" w:eastAsia="zh-CN"/>
        </w:rPr>
        <w:t>（四）大气环境管理</w:t>
      </w:r>
      <w:bookmarkEnd w:id="5"/>
    </w:p>
    <w:p w14:paraId="1A0B66C4">
      <w:pPr>
        <w:bidi w:val="0"/>
        <w:rPr>
          <w:rFonts w:hint="default"/>
          <w:highlight w:val="none"/>
          <w:lang w:val="en-US" w:eastAsia="zh-CN"/>
        </w:rPr>
      </w:pPr>
      <w:r>
        <w:rPr>
          <w:rFonts w:hint="eastAsia"/>
          <w:highlight w:val="none"/>
          <w:lang w:val="en-US" w:eastAsia="zh-CN"/>
        </w:rPr>
        <w:t>2024年，</w:t>
      </w:r>
      <w:r>
        <w:rPr>
          <w:rFonts w:hint="default"/>
          <w:highlight w:val="none"/>
          <w:lang w:val="en-US" w:eastAsia="zh-CN"/>
        </w:rPr>
        <w:t>园区内涉及工业废气外排企业数量</w:t>
      </w:r>
      <w:r>
        <w:rPr>
          <w:rFonts w:hint="eastAsia"/>
          <w:highlight w:val="none"/>
          <w:lang w:val="en-US" w:eastAsia="zh-CN"/>
        </w:rPr>
        <w:t>6</w:t>
      </w:r>
      <w:r>
        <w:rPr>
          <w:rFonts w:hint="default"/>
          <w:highlight w:val="none"/>
          <w:lang w:val="en-US" w:eastAsia="zh-CN"/>
        </w:rPr>
        <w:t>个。企业排放的主要废气污染物为颗粒物、SO</w:t>
      </w:r>
      <w:r>
        <w:rPr>
          <w:rFonts w:hint="default"/>
          <w:highlight w:val="none"/>
          <w:vertAlign w:val="subscript"/>
          <w:lang w:val="en-US" w:eastAsia="zh-CN"/>
        </w:rPr>
        <w:t>2</w:t>
      </w:r>
      <w:r>
        <w:rPr>
          <w:rFonts w:hint="default"/>
          <w:highlight w:val="none"/>
          <w:lang w:val="en-US" w:eastAsia="zh-CN"/>
        </w:rPr>
        <w:t>、NOx及VOCs。园区内不涉及VOCs重点排放企事业单位。园区各企业均按照环保要求设置了废气污染防治措施，大气污染物总排放量：二氧化硫</w:t>
      </w:r>
      <w:r>
        <w:rPr>
          <w:rFonts w:hint="eastAsia"/>
          <w:highlight w:val="none"/>
          <w:lang w:val="en-US" w:eastAsia="zh-CN"/>
        </w:rPr>
        <w:t>1.11</w:t>
      </w:r>
      <w:r>
        <w:rPr>
          <w:rFonts w:hint="default"/>
          <w:highlight w:val="none"/>
          <w:lang w:val="en-US" w:eastAsia="zh-CN"/>
        </w:rPr>
        <w:t>t/a，氮氧化物</w:t>
      </w:r>
      <w:r>
        <w:rPr>
          <w:rFonts w:hint="eastAsia"/>
          <w:highlight w:val="none"/>
          <w:lang w:val="en-US" w:eastAsia="zh-CN"/>
        </w:rPr>
        <w:t>1.24</w:t>
      </w:r>
      <w:r>
        <w:rPr>
          <w:rFonts w:hint="default"/>
          <w:highlight w:val="none"/>
          <w:lang w:val="en-US" w:eastAsia="zh-CN"/>
        </w:rPr>
        <w:t>t/a，VOCs</w:t>
      </w:r>
      <w:r>
        <w:rPr>
          <w:rFonts w:hint="eastAsia"/>
          <w:highlight w:val="none"/>
          <w:lang w:val="en-US" w:eastAsia="zh-CN"/>
        </w:rPr>
        <w:t>4.61</w:t>
      </w:r>
      <w:r>
        <w:rPr>
          <w:rFonts w:hint="default"/>
          <w:highlight w:val="none"/>
          <w:lang w:val="en-US" w:eastAsia="zh-CN"/>
        </w:rPr>
        <w:t>t/a。</w:t>
      </w:r>
    </w:p>
    <w:p w14:paraId="58AD9B2C">
      <w:pPr>
        <w:bidi w:val="0"/>
        <w:rPr>
          <w:rFonts w:hint="default"/>
          <w:highlight w:val="none"/>
          <w:lang w:val="en-US" w:eastAsia="zh-CN"/>
        </w:rPr>
      </w:pPr>
      <w:r>
        <w:rPr>
          <w:rFonts w:hint="default"/>
          <w:highlight w:val="none"/>
          <w:lang w:val="en-US" w:eastAsia="zh-CN"/>
        </w:rPr>
        <w:t>园区目前建有一座空气监测小微站，安装在园区管委会大楼楼顶，检测参数包含PM</w:t>
      </w:r>
      <w:r>
        <w:rPr>
          <w:rFonts w:hint="default"/>
          <w:highlight w:val="none"/>
          <w:vertAlign w:val="subscript"/>
          <w:lang w:val="en-US" w:eastAsia="zh-CN"/>
        </w:rPr>
        <w:t>10</w:t>
      </w:r>
      <w:r>
        <w:rPr>
          <w:rFonts w:hint="default"/>
          <w:highlight w:val="none"/>
          <w:lang w:val="en-US" w:eastAsia="zh-CN"/>
        </w:rPr>
        <w:t>、PM</w:t>
      </w:r>
      <w:r>
        <w:rPr>
          <w:rFonts w:hint="default"/>
          <w:highlight w:val="none"/>
          <w:vertAlign w:val="subscript"/>
          <w:lang w:val="en-US" w:eastAsia="zh-CN"/>
        </w:rPr>
        <w:t>2.5</w:t>
      </w:r>
      <w:r>
        <w:rPr>
          <w:rFonts w:hint="default"/>
          <w:highlight w:val="none"/>
          <w:lang w:val="en-US" w:eastAsia="zh-CN"/>
        </w:rPr>
        <w:t>、SO</w:t>
      </w:r>
      <w:r>
        <w:rPr>
          <w:rFonts w:hint="default"/>
          <w:highlight w:val="none"/>
          <w:vertAlign w:val="subscript"/>
          <w:lang w:val="en-US" w:eastAsia="zh-CN"/>
        </w:rPr>
        <w:t>2</w:t>
      </w:r>
      <w:r>
        <w:rPr>
          <w:rFonts w:hint="default"/>
          <w:highlight w:val="none"/>
          <w:lang w:val="en-US" w:eastAsia="zh-CN"/>
        </w:rPr>
        <w:t>、NO</w:t>
      </w:r>
      <w:r>
        <w:rPr>
          <w:rFonts w:hint="default"/>
          <w:highlight w:val="none"/>
          <w:vertAlign w:val="subscript"/>
          <w:lang w:val="en-US" w:eastAsia="zh-CN"/>
        </w:rPr>
        <w:t>2</w:t>
      </w:r>
      <w:r>
        <w:rPr>
          <w:rFonts w:hint="default"/>
          <w:highlight w:val="none"/>
          <w:lang w:val="en-US" w:eastAsia="zh-CN"/>
        </w:rPr>
        <w:t>、CO、O</w:t>
      </w:r>
      <w:r>
        <w:rPr>
          <w:rFonts w:hint="default"/>
          <w:highlight w:val="none"/>
          <w:vertAlign w:val="subscript"/>
          <w:lang w:val="en-US" w:eastAsia="zh-CN"/>
        </w:rPr>
        <w:t>3</w:t>
      </w:r>
      <w:r>
        <w:rPr>
          <w:rFonts w:hint="default"/>
          <w:highlight w:val="none"/>
          <w:lang w:val="en-US" w:eastAsia="zh-CN"/>
        </w:rPr>
        <w:t>及气象五参数</w:t>
      </w:r>
      <w:r>
        <w:rPr>
          <w:rFonts w:hint="eastAsia"/>
          <w:highlight w:val="none"/>
          <w:lang w:val="en-US" w:eastAsia="zh-CN"/>
        </w:rPr>
        <w:t>。</w:t>
      </w:r>
    </w:p>
    <w:p w14:paraId="77F2005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b/>
          <w:bCs/>
          <w:sz w:val="24"/>
          <w:szCs w:val="24"/>
          <w:highlight w:val="none"/>
          <w:lang w:val="en-US" w:eastAsia="zh-CN"/>
        </w:rPr>
      </w:pPr>
      <w:r>
        <w:rPr>
          <w:rFonts w:hint="eastAsia" w:ascii="Times New Roman" w:hAnsi="Times New Roman" w:eastAsia="宋体"/>
          <w:b/>
          <w:bCs/>
          <w:sz w:val="24"/>
          <w:szCs w:val="24"/>
          <w:highlight w:val="none"/>
          <w:lang w:val="en-US" w:eastAsia="zh-CN"/>
        </w:rPr>
        <w:t>表4 沅陵产业开发区环境空气质量监测情况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014"/>
        <w:gridCol w:w="2861"/>
        <w:gridCol w:w="1897"/>
        <w:gridCol w:w="987"/>
      </w:tblGrid>
      <w:tr w14:paraId="6FF9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2F1243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序号</w:t>
            </w:r>
          </w:p>
        </w:tc>
        <w:tc>
          <w:tcPr>
            <w:tcW w:w="2014" w:type="dxa"/>
            <w:vAlign w:val="center"/>
          </w:tcPr>
          <w:p w14:paraId="5C64CA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监测点名称</w:t>
            </w:r>
          </w:p>
        </w:tc>
        <w:tc>
          <w:tcPr>
            <w:tcW w:w="2861" w:type="dxa"/>
            <w:vAlign w:val="center"/>
          </w:tcPr>
          <w:p w14:paraId="22FC15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监测项目</w:t>
            </w:r>
          </w:p>
        </w:tc>
        <w:tc>
          <w:tcPr>
            <w:tcW w:w="1897" w:type="dxa"/>
            <w:vAlign w:val="center"/>
          </w:tcPr>
          <w:p w14:paraId="1DA6FE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监测频次</w:t>
            </w:r>
          </w:p>
        </w:tc>
        <w:tc>
          <w:tcPr>
            <w:tcW w:w="987" w:type="dxa"/>
            <w:vAlign w:val="center"/>
          </w:tcPr>
          <w:p w14:paraId="7B1F09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达标率</w:t>
            </w:r>
          </w:p>
        </w:tc>
      </w:tr>
      <w:tr w14:paraId="4429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30E313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w:t>
            </w:r>
          </w:p>
        </w:tc>
        <w:tc>
          <w:tcPr>
            <w:tcW w:w="2014" w:type="dxa"/>
            <w:vAlign w:val="center"/>
          </w:tcPr>
          <w:p w14:paraId="198103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沅陵产业开发区</w:t>
            </w:r>
          </w:p>
        </w:tc>
        <w:tc>
          <w:tcPr>
            <w:tcW w:w="2861" w:type="dxa"/>
            <w:vAlign w:val="center"/>
          </w:tcPr>
          <w:p w14:paraId="746390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SO</w:t>
            </w:r>
            <w:r>
              <w:rPr>
                <w:rFonts w:hint="eastAsia" w:ascii="Times New Roman" w:hAnsi="Times New Roman" w:eastAsia="宋体"/>
                <w:sz w:val="24"/>
                <w:szCs w:val="24"/>
                <w:vertAlign w:val="subscript"/>
                <w:lang w:val="en-US" w:eastAsia="zh-CN"/>
              </w:rPr>
              <w:t>2</w:t>
            </w:r>
            <w:r>
              <w:rPr>
                <w:rFonts w:hint="eastAsia" w:ascii="Times New Roman" w:hAnsi="Times New Roman" w:eastAsia="宋体"/>
                <w:sz w:val="24"/>
                <w:szCs w:val="24"/>
                <w:lang w:val="en-US" w:eastAsia="zh-CN"/>
              </w:rPr>
              <w:t>、NO</w:t>
            </w:r>
            <w:r>
              <w:rPr>
                <w:rFonts w:hint="eastAsia" w:ascii="Times New Roman" w:hAnsi="Times New Roman" w:eastAsia="宋体"/>
                <w:sz w:val="24"/>
                <w:szCs w:val="24"/>
                <w:vertAlign w:val="subscript"/>
                <w:lang w:val="en-US" w:eastAsia="zh-CN"/>
              </w:rPr>
              <w:t>2</w:t>
            </w:r>
            <w:r>
              <w:rPr>
                <w:rFonts w:hint="eastAsia" w:ascii="Times New Roman" w:hAnsi="Times New Roman" w:eastAsia="宋体"/>
                <w:sz w:val="24"/>
                <w:szCs w:val="24"/>
                <w:lang w:val="en-US" w:eastAsia="zh-CN"/>
              </w:rPr>
              <w:t>、PM</w:t>
            </w:r>
            <w:r>
              <w:rPr>
                <w:rFonts w:hint="eastAsia" w:ascii="Times New Roman" w:hAnsi="Times New Roman" w:eastAsia="宋体"/>
                <w:sz w:val="24"/>
                <w:szCs w:val="24"/>
                <w:vertAlign w:val="subscript"/>
                <w:lang w:val="en-US" w:eastAsia="zh-CN"/>
              </w:rPr>
              <w:t>10</w:t>
            </w:r>
            <w:r>
              <w:rPr>
                <w:rFonts w:hint="eastAsia" w:ascii="Times New Roman" w:hAnsi="Times New Roman" w:eastAsia="宋体"/>
                <w:sz w:val="24"/>
                <w:szCs w:val="24"/>
                <w:lang w:val="en-US" w:eastAsia="zh-CN"/>
              </w:rPr>
              <w:t>、PM</w:t>
            </w:r>
            <w:r>
              <w:rPr>
                <w:rFonts w:hint="eastAsia" w:ascii="Times New Roman" w:hAnsi="Times New Roman" w:eastAsia="宋体"/>
                <w:sz w:val="24"/>
                <w:szCs w:val="24"/>
                <w:vertAlign w:val="subscript"/>
                <w:lang w:val="en-US" w:eastAsia="zh-CN"/>
              </w:rPr>
              <w:t>2.5</w:t>
            </w:r>
            <w:r>
              <w:rPr>
                <w:rFonts w:hint="eastAsia" w:ascii="Times New Roman" w:hAnsi="Times New Roman" w:eastAsia="宋体"/>
                <w:sz w:val="24"/>
                <w:szCs w:val="24"/>
                <w:lang w:val="en-US" w:eastAsia="zh-CN"/>
              </w:rPr>
              <w:t>、CO、O</w:t>
            </w:r>
            <w:r>
              <w:rPr>
                <w:rFonts w:hint="eastAsia" w:ascii="Times New Roman" w:hAnsi="Times New Roman" w:eastAsia="宋体"/>
                <w:sz w:val="24"/>
                <w:szCs w:val="24"/>
                <w:vertAlign w:val="subscript"/>
                <w:lang w:val="en-US" w:eastAsia="zh-CN"/>
              </w:rPr>
              <w:t>3</w:t>
            </w:r>
          </w:p>
        </w:tc>
        <w:tc>
          <w:tcPr>
            <w:tcW w:w="1897" w:type="dxa"/>
            <w:vAlign w:val="center"/>
          </w:tcPr>
          <w:p w14:paraId="6E5272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1次/天（日均值）</w:t>
            </w:r>
          </w:p>
        </w:tc>
        <w:tc>
          <w:tcPr>
            <w:tcW w:w="987" w:type="dxa"/>
            <w:vAlign w:val="center"/>
          </w:tcPr>
          <w:p w14:paraId="79D93B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100%</w:t>
            </w:r>
          </w:p>
        </w:tc>
      </w:tr>
    </w:tbl>
    <w:p w14:paraId="735E8465">
      <w:pPr>
        <w:bidi w:val="0"/>
        <w:outlineLvl w:val="1"/>
        <w:rPr>
          <w:rFonts w:hint="default"/>
          <w:b/>
          <w:bCs/>
          <w:lang w:val="en-US" w:eastAsia="zh-CN"/>
        </w:rPr>
      </w:pPr>
      <w:bookmarkStart w:id="6" w:name="_Toc1036"/>
      <w:r>
        <w:rPr>
          <w:rFonts w:hint="default"/>
          <w:b/>
          <w:bCs/>
          <w:lang w:val="en-US" w:eastAsia="zh-CN"/>
        </w:rPr>
        <w:t>（五）土壤环境管理</w:t>
      </w:r>
      <w:bookmarkEnd w:id="6"/>
    </w:p>
    <w:p w14:paraId="3177C091">
      <w:pPr>
        <w:bidi w:val="0"/>
        <w:rPr>
          <w:rFonts w:hint="default"/>
          <w:lang w:val="en-US" w:eastAsia="zh-CN"/>
        </w:rPr>
      </w:pPr>
      <w:r>
        <w:rPr>
          <w:rFonts w:hint="default"/>
          <w:lang w:val="en-US" w:eastAsia="zh-CN"/>
        </w:rPr>
        <w:t>沅陵产业开发区内不涉及污染地块，不涉及土壤环境重点监管企业。</w:t>
      </w:r>
    </w:p>
    <w:p w14:paraId="017DC393">
      <w:pPr>
        <w:bidi w:val="0"/>
        <w:rPr>
          <w:rFonts w:hint="default"/>
          <w:lang w:val="en-US" w:eastAsia="zh-CN"/>
        </w:rPr>
      </w:pPr>
      <w:r>
        <w:rPr>
          <w:rFonts w:hint="default"/>
          <w:lang w:val="en-US" w:eastAsia="zh-CN"/>
        </w:rPr>
        <w:t>2023年，为了解园区土壤环境质量现状情况，园区根据环境影响跟踪评价监测计划委托有资质的第三方监测公司对园区内北部（农田）、园区内南部以及园区内污水处理厂三个监测点位的建设用地开展了土壤环境质量现状检测，根据相关检测结果，园区区域内建设用地土壤环境各项评价因子均满足《土壤环境质量</w:t>
      </w:r>
      <w:r>
        <w:rPr>
          <w:rFonts w:hint="eastAsia"/>
          <w:lang w:val="en-US" w:eastAsia="zh-CN"/>
        </w:rPr>
        <w:t xml:space="preserve"> </w:t>
      </w:r>
      <w:r>
        <w:rPr>
          <w:rFonts w:hint="default"/>
          <w:lang w:val="en-US" w:eastAsia="zh-CN"/>
        </w:rPr>
        <w:t>建设用地土壤污染风险管控标准》（GB36600-2018）中表1第二类用地的标准限值要求；开发区周边农用地土壤满足《土壤环境质量 农用地土壤污染风险管控标准》（试行）（GB15618-2018）中风险筛选值和管控值。</w:t>
      </w:r>
    </w:p>
    <w:p w14:paraId="74F9BB0F">
      <w:pPr>
        <w:bidi w:val="0"/>
        <w:outlineLvl w:val="1"/>
        <w:rPr>
          <w:rFonts w:hint="default"/>
          <w:b/>
          <w:bCs/>
          <w:highlight w:val="none"/>
          <w:lang w:val="en-US" w:eastAsia="zh-CN"/>
        </w:rPr>
      </w:pPr>
      <w:bookmarkStart w:id="7" w:name="_Toc11096"/>
      <w:r>
        <w:rPr>
          <w:rFonts w:hint="default"/>
          <w:b/>
          <w:bCs/>
          <w:highlight w:val="none"/>
          <w:lang w:val="en-US" w:eastAsia="zh-CN"/>
        </w:rPr>
        <w:t>（六）固体废物管理</w:t>
      </w:r>
      <w:bookmarkEnd w:id="7"/>
    </w:p>
    <w:p w14:paraId="0D1BCFBF">
      <w:pPr>
        <w:bidi w:val="0"/>
        <w:rPr>
          <w:rFonts w:hint="default"/>
          <w:highlight w:val="none"/>
          <w:lang w:val="en-US" w:eastAsia="zh-CN"/>
        </w:rPr>
      </w:pPr>
      <w:r>
        <w:rPr>
          <w:rFonts w:hint="default"/>
          <w:highlight w:val="none"/>
          <w:lang w:val="en-US" w:eastAsia="zh-CN"/>
        </w:rPr>
        <w:t>202</w:t>
      </w:r>
      <w:r>
        <w:rPr>
          <w:rFonts w:hint="eastAsia"/>
          <w:highlight w:val="none"/>
          <w:lang w:val="en-US" w:eastAsia="zh-CN"/>
        </w:rPr>
        <w:t>4</w:t>
      </w:r>
      <w:r>
        <w:rPr>
          <w:rFonts w:hint="default"/>
          <w:highlight w:val="none"/>
          <w:lang w:val="en-US" w:eastAsia="zh-CN"/>
        </w:rPr>
        <w:t>年度，沅陵产业开发区一般工业固体废物产生企业数量</w:t>
      </w:r>
      <w:r>
        <w:rPr>
          <w:rFonts w:hint="eastAsia"/>
          <w:highlight w:val="none"/>
          <w:lang w:val="en-US" w:eastAsia="zh-CN"/>
        </w:rPr>
        <w:t>10</w:t>
      </w:r>
      <w:r>
        <w:rPr>
          <w:rFonts w:hint="default"/>
          <w:highlight w:val="none"/>
          <w:lang w:val="en-US" w:eastAsia="zh-CN"/>
        </w:rPr>
        <w:t>个，产生量</w:t>
      </w:r>
      <w:r>
        <w:rPr>
          <w:rFonts w:hint="eastAsia"/>
          <w:highlight w:val="none"/>
          <w:lang w:val="en-US" w:eastAsia="zh-CN"/>
        </w:rPr>
        <w:t>1092.96</w:t>
      </w:r>
      <w:r>
        <w:rPr>
          <w:rFonts w:hint="default"/>
          <w:highlight w:val="none"/>
          <w:lang w:val="en-US" w:eastAsia="zh-CN"/>
        </w:rPr>
        <w:t>t/a，其中，自行综合利用</w:t>
      </w:r>
      <w:r>
        <w:rPr>
          <w:rFonts w:hint="eastAsia"/>
          <w:highlight w:val="none"/>
          <w:lang w:val="en-US" w:eastAsia="zh-CN"/>
        </w:rPr>
        <w:t>10.8</w:t>
      </w:r>
      <w:r>
        <w:rPr>
          <w:rFonts w:hint="default"/>
          <w:highlight w:val="none"/>
          <w:lang w:val="en-US" w:eastAsia="zh-CN"/>
        </w:rPr>
        <w:t>t/a，自行处置</w:t>
      </w:r>
      <w:r>
        <w:rPr>
          <w:rFonts w:hint="eastAsia"/>
          <w:highlight w:val="none"/>
          <w:lang w:val="en-US" w:eastAsia="zh-CN"/>
        </w:rPr>
        <w:t>8.66</w:t>
      </w:r>
      <w:r>
        <w:rPr>
          <w:rFonts w:hint="default"/>
          <w:highlight w:val="none"/>
          <w:lang w:val="en-US" w:eastAsia="zh-CN"/>
        </w:rPr>
        <w:t>t/a，委托处理</w:t>
      </w:r>
      <w:r>
        <w:rPr>
          <w:rFonts w:hint="eastAsia"/>
          <w:highlight w:val="none"/>
          <w:lang w:val="en-US" w:eastAsia="zh-CN"/>
        </w:rPr>
        <w:t>1073.5</w:t>
      </w:r>
      <w:r>
        <w:rPr>
          <w:rFonts w:hint="default"/>
          <w:highlight w:val="none"/>
          <w:lang w:val="en-US" w:eastAsia="zh-CN"/>
        </w:rPr>
        <w:t>t/a。园区危险废物产生企业数量</w:t>
      </w:r>
      <w:r>
        <w:rPr>
          <w:rFonts w:hint="eastAsia"/>
          <w:highlight w:val="none"/>
          <w:lang w:val="en-US" w:eastAsia="zh-CN"/>
        </w:rPr>
        <w:t>5</w:t>
      </w:r>
      <w:r>
        <w:rPr>
          <w:rFonts w:hint="default"/>
          <w:highlight w:val="none"/>
          <w:lang w:val="en-US" w:eastAsia="zh-CN"/>
        </w:rPr>
        <w:t>个，产生量</w:t>
      </w:r>
      <w:r>
        <w:rPr>
          <w:rFonts w:hint="eastAsia"/>
          <w:highlight w:val="none"/>
          <w:lang w:val="en-US" w:eastAsia="zh-CN"/>
        </w:rPr>
        <w:t>315.472</w:t>
      </w:r>
      <w:r>
        <w:rPr>
          <w:rFonts w:hint="default"/>
          <w:highlight w:val="none"/>
          <w:lang w:val="en-US" w:eastAsia="zh-CN"/>
        </w:rPr>
        <w:t>t/a，外委处置</w:t>
      </w:r>
      <w:r>
        <w:rPr>
          <w:rFonts w:hint="eastAsia"/>
          <w:highlight w:val="none"/>
          <w:lang w:val="en-US" w:eastAsia="zh-CN"/>
        </w:rPr>
        <w:t>315.472</w:t>
      </w:r>
      <w:r>
        <w:rPr>
          <w:rFonts w:hint="default"/>
          <w:highlight w:val="none"/>
          <w:lang w:val="en-US" w:eastAsia="zh-CN"/>
        </w:rPr>
        <w:t>t/a。</w:t>
      </w:r>
    </w:p>
    <w:p w14:paraId="329A3522">
      <w:pPr>
        <w:bidi w:val="0"/>
        <w:rPr>
          <w:rFonts w:hint="default"/>
          <w:lang w:val="en-US" w:eastAsia="zh-CN"/>
        </w:rPr>
      </w:pPr>
      <w:r>
        <w:rPr>
          <w:rFonts w:hint="default"/>
          <w:highlight w:val="none"/>
          <w:lang w:val="en-US" w:eastAsia="zh-CN"/>
        </w:rPr>
        <w:t>园区内暂未集中的工业固废处理设施，一般工</w:t>
      </w:r>
      <w:r>
        <w:rPr>
          <w:rFonts w:hint="default"/>
          <w:lang w:val="en-US" w:eastAsia="zh-CN"/>
        </w:rPr>
        <w:t>业固废大多可作为原料回用至工艺生产中，剩余一般工业固体废物送往沅陵县垃圾填埋场；园区已建立了危险废物监管体系，高度重视对园区危废产生企业的规范化管理，包括危险废物的产生、转移及处置全过程的监督管理工作，对不符合国家固废及危废管理要求的企业，下达整改通知并督促其整改到位。危险废物由集中区内企业暂存于各企业危废暂存库内，委托有危废处理资质单位进行处置。</w:t>
      </w:r>
    </w:p>
    <w:p w14:paraId="150A0E5E">
      <w:pPr>
        <w:bidi w:val="0"/>
        <w:outlineLvl w:val="1"/>
        <w:rPr>
          <w:rFonts w:hint="default"/>
          <w:b/>
          <w:bCs/>
          <w:lang w:val="en-US" w:eastAsia="zh-CN"/>
        </w:rPr>
      </w:pPr>
      <w:bookmarkStart w:id="8" w:name="_Toc4078"/>
      <w:r>
        <w:rPr>
          <w:rFonts w:hint="default"/>
          <w:b/>
          <w:bCs/>
          <w:lang w:val="en-US" w:eastAsia="zh-CN"/>
        </w:rPr>
        <w:t>（七）投诉管理</w:t>
      </w:r>
      <w:bookmarkEnd w:id="8"/>
    </w:p>
    <w:p w14:paraId="6EF7069B">
      <w:pPr>
        <w:bidi w:val="0"/>
        <w:rPr>
          <w:rFonts w:hint="default"/>
          <w:lang w:val="en-US" w:eastAsia="zh-CN"/>
        </w:rPr>
      </w:pPr>
      <w:r>
        <w:rPr>
          <w:rFonts w:hint="eastAsia"/>
          <w:lang w:val="en-US" w:eastAsia="zh-CN"/>
        </w:rPr>
        <w:t>2024</w:t>
      </w:r>
      <w:r>
        <w:rPr>
          <w:rFonts w:hint="default"/>
          <w:lang w:val="en-US" w:eastAsia="zh-CN"/>
        </w:rPr>
        <w:t>年度，沅陵产业开发区共受理各类（含各级督查、各级环保投诉等）投诉0件，已完成整改0件，完成率100%。共收到环保督察交办问题0件，已完成整改0件，完成率100%。</w:t>
      </w:r>
    </w:p>
    <w:p w14:paraId="0160880C">
      <w:pPr>
        <w:bidi w:val="0"/>
        <w:outlineLvl w:val="1"/>
        <w:rPr>
          <w:rFonts w:hint="default"/>
          <w:b/>
          <w:bCs/>
          <w:lang w:val="en-US" w:eastAsia="zh-CN"/>
        </w:rPr>
      </w:pPr>
      <w:bookmarkStart w:id="9" w:name="_Toc22382"/>
      <w:r>
        <w:rPr>
          <w:rFonts w:hint="default"/>
          <w:b/>
          <w:bCs/>
          <w:lang w:val="en-US" w:eastAsia="zh-CN"/>
        </w:rPr>
        <w:t>（八）园区信用评价</w:t>
      </w:r>
      <w:bookmarkEnd w:id="9"/>
    </w:p>
    <w:p w14:paraId="182A289C">
      <w:pPr>
        <w:bidi w:val="0"/>
        <w:rPr>
          <w:rFonts w:hint="default"/>
          <w:lang w:val="en-US" w:eastAsia="zh-CN"/>
        </w:rPr>
      </w:pPr>
      <w:r>
        <w:rPr>
          <w:rFonts w:hint="default"/>
          <w:lang w:val="en-US" w:eastAsia="zh-CN"/>
        </w:rPr>
        <w:t>根据湖南省生态环境厅发布的《湖南省产业园区环保信用评价管理办法》（湘环发[2023]94号），产业园区环保信用等级根据环保信用分值高低分为环保诚信园区、环保合格园区、环保风险园区三个等级。</w:t>
      </w:r>
    </w:p>
    <w:p w14:paraId="162CDD6B">
      <w:pPr>
        <w:bidi w:val="0"/>
        <w:rPr>
          <w:rFonts w:hint="default"/>
          <w:lang w:val="en-US" w:eastAsia="zh-CN"/>
        </w:rPr>
      </w:pPr>
      <w:r>
        <w:rPr>
          <w:rFonts w:hint="default"/>
          <w:lang w:val="en-US" w:eastAsia="zh-CN"/>
        </w:rPr>
        <w:t>环保诚信园区：环保信用分值10分及以上；</w:t>
      </w:r>
    </w:p>
    <w:p w14:paraId="374B3F98">
      <w:pPr>
        <w:bidi w:val="0"/>
        <w:rPr>
          <w:rFonts w:hint="default"/>
          <w:lang w:val="en-US" w:eastAsia="zh-CN"/>
        </w:rPr>
      </w:pPr>
      <w:r>
        <w:rPr>
          <w:rFonts w:hint="default"/>
          <w:lang w:val="en-US" w:eastAsia="zh-CN"/>
        </w:rPr>
        <w:t>环保合格园区：环保信用分值5分以上，10分以下；</w:t>
      </w:r>
    </w:p>
    <w:p w14:paraId="0A65F7F0">
      <w:pPr>
        <w:bidi w:val="0"/>
        <w:rPr>
          <w:rFonts w:hint="default"/>
          <w:lang w:val="en-US" w:eastAsia="zh-CN"/>
        </w:rPr>
      </w:pPr>
      <w:r>
        <w:rPr>
          <w:rFonts w:hint="default"/>
          <w:lang w:val="en-US" w:eastAsia="zh-CN"/>
        </w:rPr>
        <w:t>环保风险园区：环保信用分值5分及以下。</w:t>
      </w:r>
    </w:p>
    <w:p w14:paraId="3E82711E">
      <w:pPr>
        <w:bidi w:val="0"/>
        <w:rPr>
          <w:rFonts w:hint="default"/>
          <w:lang w:val="en-US" w:eastAsia="zh-CN"/>
        </w:rPr>
      </w:pPr>
      <w:r>
        <w:rPr>
          <w:rFonts w:hint="default"/>
          <w:lang w:val="en-US" w:eastAsia="zh-CN"/>
        </w:rPr>
        <w:t>园区对照最新发布的湖南省产业园区环保信用评价评分细则开展20</w:t>
      </w:r>
      <w:r>
        <w:rPr>
          <w:rFonts w:hint="eastAsia"/>
          <w:lang w:val="en-US" w:eastAsia="zh-CN"/>
        </w:rPr>
        <w:t>24</w:t>
      </w:r>
      <w:r>
        <w:rPr>
          <w:rFonts w:hint="default"/>
          <w:lang w:val="en-US" w:eastAsia="zh-CN"/>
        </w:rPr>
        <w:t>年度园区环保信用评价自评工作，具体评价结果如下。</w:t>
      </w:r>
    </w:p>
    <w:p w14:paraId="75DF3687">
      <w:pPr>
        <w:rPr>
          <w:rFonts w:hint="default"/>
          <w:lang w:val="en-US" w:eastAsia="zh-CN"/>
        </w:rPr>
      </w:pPr>
      <w:r>
        <w:rPr>
          <w:rFonts w:hint="default"/>
          <w:lang w:val="en-US" w:eastAsia="zh-CN"/>
        </w:rPr>
        <w:br w:type="page"/>
      </w:r>
    </w:p>
    <w:p w14:paraId="0145F3A6">
      <w:pPr>
        <w:pStyle w:val="2"/>
        <w:rPr>
          <w:rFonts w:hint="default"/>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2F0E4A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b/>
          <w:bCs/>
          <w:sz w:val="24"/>
          <w:szCs w:val="24"/>
          <w:highlight w:val="none"/>
          <w:lang w:val="en-US" w:eastAsia="zh-CN"/>
        </w:rPr>
      </w:pPr>
      <w:r>
        <w:rPr>
          <w:rFonts w:hint="eastAsia" w:ascii="Times New Roman" w:hAnsi="Times New Roman" w:eastAsia="宋体"/>
          <w:b/>
          <w:bCs/>
          <w:sz w:val="24"/>
          <w:szCs w:val="24"/>
          <w:highlight w:val="none"/>
          <w:lang w:val="en-US" w:eastAsia="zh-CN"/>
        </w:rPr>
        <w:t>表5 园区环保信用自评情况一览表</w:t>
      </w:r>
    </w:p>
    <w:tbl>
      <w:tblPr>
        <w:tblStyle w:val="12"/>
        <w:tblW w:w="49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046"/>
        <w:gridCol w:w="1144"/>
        <w:gridCol w:w="4611"/>
        <w:gridCol w:w="939"/>
        <w:gridCol w:w="4755"/>
        <w:gridCol w:w="939"/>
      </w:tblGrid>
      <w:tr w14:paraId="56A43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0DFBE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序号</w:t>
            </w:r>
          </w:p>
        </w:tc>
        <w:tc>
          <w:tcPr>
            <w:tcW w:w="104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F2BCB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一级评价指标</w:t>
            </w:r>
          </w:p>
        </w:tc>
        <w:tc>
          <w:tcPr>
            <w:tcW w:w="114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7EBC9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二级评价指标</w:t>
            </w: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8F3BE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评价标准</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15D68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分值（分）</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B1129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园区情况</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DBA1A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分值（分）</w:t>
            </w:r>
          </w:p>
        </w:tc>
      </w:tr>
      <w:tr w14:paraId="612FE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E3923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w:t>
            </w:r>
          </w:p>
        </w:tc>
        <w:tc>
          <w:tcPr>
            <w:tcW w:w="1047" w:type="dxa"/>
            <w:vMerge w:val="restart"/>
            <w:tcBorders>
              <w:top w:val="single" w:color="auto" w:sz="8" w:space="0"/>
              <w:left w:val="single" w:color="auto" w:sz="8" w:space="0"/>
              <w:bottom w:val="single" w:color="auto" w:sz="8" w:space="0"/>
              <w:right w:val="single" w:color="auto" w:sz="8" w:space="0"/>
            </w:tcBorders>
            <w:shd w:val="clear" w:color="auto" w:fill="auto"/>
            <w:noWrap w:val="0"/>
            <w:vAlign w:val="center"/>
          </w:tcPr>
          <w:p w14:paraId="37E77E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环境准入</w:t>
            </w:r>
          </w:p>
        </w:tc>
        <w:tc>
          <w:tcPr>
            <w:tcW w:w="1144" w:type="dxa"/>
            <w:vMerge w:val="restart"/>
            <w:tcBorders>
              <w:top w:val="single" w:color="auto" w:sz="8" w:space="0"/>
              <w:left w:val="single" w:color="auto" w:sz="8" w:space="0"/>
              <w:bottom w:val="single" w:color="auto" w:sz="8" w:space="0"/>
              <w:right w:val="single" w:color="auto" w:sz="8" w:space="0"/>
            </w:tcBorders>
            <w:shd w:val="clear" w:color="auto" w:fill="auto"/>
            <w:noWrap w:val="0"/>
            <w:vAlign w:val="center"/>
          </w:tcPr>
          <w:p w14:paraId="633629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规划环评</w:t>
            </w: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2EA18D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产业园区未按要求开展规划环评或环境影响跟踪评价。</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EA959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-2</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C35DAF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园区正在开展调区扩区环评工作；园区在2022年开展了环境影响跟踪评价，于2022年5月5日取得了《湖南沅陵产业开发区环境影响跟踪评价工作意见的函》（湘环评函[2022]16号）</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1E3C9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7CCB2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DFDC8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2</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5841C3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5B5E43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17D2E1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产业园区未落实</w:t>
            </w:r>
            <w:r>
              <w:rPr>
                <w:rFonts w:hint="eastAsia" w:ascii="Times New Roman" w:hAnsi="Times New Roman" w:eastAsia="宋体"/>
                <w:b w:val="0"/>
                <w:bCs w:val="0"/>
                <w:sz w:val="24"/>
                <w:szCs w:val="24"/>
                <w:lang w:val="en-US" w:eastAsia="zh-CN"/>
              </w:rPr>
              <w:t>“</w:t>
            </w:r>
            <w:r>
              <w:rPr>
                <w:rFonts w:hint="default" w:ascii="Times New Roman" w:hAnsi="Times New Roman" w:eastAsia="宋体"/>
                <w:b w:val="0"/>
                <w:bCs w:val="0"/>
                <w:sz w:val="24"/>
                <w:szCs w:val="24"/>
                <w:lang w:val="en-US" w:eastAsia="zh-CN"/>
              </w:rPr>
              <w:t>三线一单</w:t>
            </w:r>
            <w:r>
              <w:rPr>
                <w:rFonts w:hint="eastAsia" w:ascii="Times New Roman" w:hAnsi="Times New Roman" w:eastAsia="宋体"/>
                <w:b w:val="0"/>
                <w:bCs w:val="0"/>
                <w:sz w:val="24"/>
                <w:szCs w:val="24"/>
                <w:lang w:val="en-US" w:eastAsia="zh-CN"/>
              </w:rPr>
              <w:t>”</w:t>
            </w:r>
            <w:r>
              <w:rPr>
                <w:rFonts w:hint="default" w:ascii="Times New Roman" w:hAnsi="Times New Roman" w:eastAsia="宋体"/>
                <w:b w:val="0"/>
                <w:bCs w:val="0"/>
                <w:sz w:val="24"/>
                <w:szCs w:val="24"/>
                <w:lang w:val="en-US" w:eastAsia="zh-CN"/>
              </w:rPr>
              <w:t>生态环境分区管控等要求。</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87A5B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B5B367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产业园区已经落实</w:t>
            </w:r>
            <w:r>
              <w:rPr>
                <w:rFonts w:hint="eastAsia" w:ascii="Times New Roman" w:hAnsi="Times New Roman" w:eastAsia="宋体"/>
                <w:b w:val="0"/>
                <w:bCs w:val="0"/>
                <w:sz w:val="24"/>
                <w:szCs w:val="24"/>
                <w:lang w:val="en-US" w:eastAsia="zh-CN"/>
              </w:rPr>
              <w:t>“</w:t>
            </w:r>
            <w:r>
              <w:rPr>
                <w:rFonts w:hint="default" w:ascii="Times New Roman" w:hAnsi="Times New Roman" w:eastAsia="宋体"/>
                <w:b w:val="0"/>
                <w:bCs w:val="0"/>
                <w:sz w:val="24"/>
                <w:szCs w:val="24"/>
                <w:lang w:val="en-US" w:eastAsia="zh-CN"/>
              </w:rPr>
              <w:t>三线一单</w:t>
            </w:r>
            <w:r>
              <w:rPr>
                <w:rFonts w:hint="eastAsia" w:ascii="Times New Roman" w:hAnsi="Times New Roman" w:eastAsia="宋体"/>
                <w:b w:val="0"/>
                <w:bCs w:val="0"/>
                <w:sz w:val="24"/>
                <w:szCs w:val="24"/>
                <w:lang w:val="en-US" w:eastAsia="zh-CN"/>
              </w:rPr>
              <w:t>”</w:t>
            </w:r>
            <w:r>
              <w:rPr>
                <w:rFonts w:hint="default" w:ascii="Times New Roman" w:hAnsi="Times New Roman" w:eastAsia="宋体"/>
                <w:b w:val="0"/>
                <w:bCs w:val="0"/>
                <w:sz w:val="24"/>
                <w:szCs w:val="24"/>
                <w:lang w:val="en-US" w:eastAsia="zh-CN"/>
              </w:rPr>
              <w:t>生态环境分区管控等要求。</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CA3FD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1C765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FD68F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3</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54EA4D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16A83C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2D055F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化工园区认定后因生态环境保护工作不达标导致复核不合格或被摘牌。</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14DDB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B1B88A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沅陵产业开发区不是化工园区。</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F31DD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1226E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E082C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4</w:t>
            </w:r>
          </w:p>
        </w:tc>
        <w:tc>
          <w:tcPr>
            <w:tcW w:w="1047" w:type="dxa"/>
            <w:vMerge w:val="restart"/>
            <w:tcBorders>
              <w:top w:val="single" w:color="auto" w:sz="8" w:space="0"/>
              <w:left w:val="single" w:color="auto" w:sz="8" w:space="0"/>
              <w:bottom w:val="single" w:color="auto" w:sz="8" w:space="0"/>
              <w:right w:val="single" w:color="auto" w:sz="8" w:space="0"/>
            </w:tcBorders>
            <w:shd w:val="clear" w:color="auto" w:fill="auto"/>
            <w:noWrap w:val="0"/>
            <w:vAlign w:val="center"/>
          </w:tcPr>
          <w:p w14:paraId="1C8118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环境监管</w:t>
            </w:r>
          </w:p>
        </w:tc>
        <w:tc>
          <w:tcPr>
            <w:tcW w:w="114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42A3C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环保手续落实情况</w:t>
            </w: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561AE8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产业园区内存在企事业单位未依法开展环境影响评价或未按要求申领排污许可证和辐射安全许可证。</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54317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E7E2AD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产业园区内企事业单位已依法开展环境影响评价、已按相关要求申领排污许可证，园区内无辐射类企业和项目，无需申领辐射安全许可证</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542FC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24F4F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CC8F0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5</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2FE45C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5B98B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水环境管理</w:t>
            </w: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F30C29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产业园区未按要求进行废水收集处理或未达标排放的。</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48F09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-2</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CEFE4C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产业园区已按要求进行废水收集处理并达标排放。</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717F4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59FF9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A2676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6</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44BF8B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F5544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气环境管理</w:t>
            </w: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D4F3CE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产业园区未建立工业炉窑、锅炉清单和涉VOCs重点行业企事业单位管理台账，园区内存在工业炉窑、锅炉或涉VOCs重点行业企事业单位未按规定建设、运行有效收集处理设施并达标排放。</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5D262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6DC738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园区无涉工业炉窑、锅炉清单和VOCs重点行业企事业单位。园区内涉VOCs、锅炉行业企事业单位已按规定建设、运行有效收集处理设施并达标排放。</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7C9B6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002360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074F4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7</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0ACC9F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B6A27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固废管理</w:t>
            </w: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3BD75D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产业园区内存在涉危险废物环境违法行为或连续2年规范化管理评估不达标企事业单位。</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2C08A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ED9C91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产业园区内无涉危险废物环境违法行为</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3EBEF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32F9E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20C3D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8</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381950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350B7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土壤环境管理</w:t>
            </w: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23A199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产业园区内存在土壤污染重点监管单位未按要求开展自行监测和隐患排查。</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3C2B8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-2</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E53FC3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根据《怀化市</w:t>
            </w:r>
            <w:r>
              <w:rPr>
                <w:rFonts w:hint="eastAsia" w:ascii="Times New Roman" w:hAnsi="Times New Roman" w:eastAsia="宋体"/>
                <w:b w:val="0"/>
                <w:bCs w:val="0"/>
                <w:sz w:val="24"/>
                <w:szCs w:val="24"/>
                <w:lang w:val="en-US" w:eastAsia="zh-CN"/>
              </w:rPr>
              <w:t>2024</w:t>
            </w:r>
            <w:r>
              <w:rPr>
                <w:rFonts w:hint="default" w:ascii="Times New Roman" w:hAnsi="Times New Roman" w:eastAsia="宋体"/>
                <w:b w:val="0"/>
                <w:bCs w:val="0"/>
                <w:sz w:val="24"/>
                <w:szCs w:val="24"/>
                <w:lang w:val="en-US" w:eastAsia="zh-CN"/>
              </w:rPr>
              <w:t>年环境监管重点单位名录》，园区内不涉土壤污染重点监管单位</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CE1CE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16083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A69BC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9</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4AFEC0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65C1E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环境监测</w:t>
            </w: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E1BB03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产业园区未按规定开展自行监测或自行监测数据弄虚作假。</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002D6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-2</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A643BF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沅陵产业开发区委托湖南得成检测有限公司按照跟踪评价提出的监测计划开展了园区</w:t>
            </w:r>
            <w:r>
              <w:rPr>
                <w:rFonts w:hint="eastAsia" w:ascii="Times New Roman" w:hAnsi="Times New Roman" w:eastAsia="宋体"/>
                <w:b w:val="0"/>
                <w:bCs w:val="0"/>
                <w:sz w:val="24"/>
                <w:szCs w:val="24"/>
                <w:lang w:val="en-US" w:eastAsia="zh-CN"/>
              </w:rPr>
              <w:t>2024</w:t>
            </w:r>
            <w:r>
              <w:rPr>
                <w:rFonts w:hint="default" w:ascii="Times New Roman" w:hAnsi="Times New Roman" w:eastAsia="宋体"/>
                <w:b w:val="0"/>
                <w:bCs w:val="0"/>
                <w:sz w:val="24"/>
                <w:szCs w:val="24"/>
                <w:lang w:val="en-US" w:eastAsia="zh-CN"/>
              </w:rPr>
              <w:t>年环境质量现状监测。园区环境质量监测涉及园区及周边的环境空气、地表水环境、土壤环境、地下水环境及噪声环境，并涵盖了相关特征污染物</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B83D9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1CFE08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8D323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10</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560BF0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vMerge w:val="restart"/>
            <w:tcBorders>
              <w:top w:val="single" w:color="auto" w:sz="8" w:space="0"/>
              <w:left w:val="single" w:color="auto" w:sz="8" w:space="0"/>
              <w:bottom w:val="single" w:color="auto" w:sz="8" w:space="0"/>
              <w:right w:val="single" w:color="auto" w:sz="8" w:space="0"/>
            </w:tcBorders>
            <w:shd w:val="clear" w:color="auto" w:fill="auto"/>
            <w:noWrap w:val="0"/>
            <w:vAlign w:val="center"/>
          </w:tcPr>
          <w:p w14:paraId="047EC5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监管能力</w:t>
            </w: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6B7880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产业园区未按要求开展环境污染第三方治理。</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E2643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-2</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E1488C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沅陵产业开发区已开展第三方治理服务</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5F0D6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1CDE5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0D9CC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11</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3E1F33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285438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F9B8A9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产业园区污染物排放超过总量控制要求或由于产业园区原因造成环境质量超标、环境质量恶化的情况。</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4600D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-1</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4615BA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产业园区内污染物排放未超过总量控制要求，无产业园区原因造成环境质量超标、环境质量恶化的情况</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0F195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0</w:t>
            </w:r>
          </w:p>
        </w:tc>
      </w:tr>
      <w:tr w14:paraId="53F37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EBC98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12</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17BBED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02B9EF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FF59B1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产业园区建成较完善环境监测体系，并按要求将数据与省监管平台联网。</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B5951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+1</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C80BF3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已形成较完善环境监测体系，根据跟踪环评要求每季度开展园区环境质量监测，园区企业开展自行监测，监测数据上传至园区生态环境监管平台。园区上风向空气质量自动监测站点依托怀化市生态环境局沅陵分局建设的空气质量自动监测站（站点：县环保局），已联网；园区在管委会布设了1个空气小微站，并已联网。园区废水主排口下游水质自动监测站点依托怀化市生态环境局建设的地表水监测断面监测点，园区内污水处理厂废水进出口安装了在线监测设备，均已联网。</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FF169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+1</w:t>
            </w:r>
          </w:p>
        </w:tc>
      </w:tr>
      <w:tr w14:paraId="16569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A9588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w:t>
            </w:r>
            <w:r>
              <w:rPr>
                <w:rFonts w:hint="eastAsia" w:ascii="Times New Roman" w:hAnsi="Times New Roman" w:eastAsia="宋体"/>
                <w:b w:val="0"/>
                <w:bCs w:val="0"/>
                <w:sz w:val="24"/>
                <w:szCs w:val="24"/>
                <w:lang w:val="en-US" w:eastAsia="zh-CN"/>
              </w:rPr>
              <w:t>3</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6CFD75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216AEC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ED66EC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产业园区内存在被评为环保黑名单的企事业单位。</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D08DA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6F300A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根据《湖南省生态环境厅关于发布湖南省20</w:t>
            </w:r>
            <w:r>
              <w:rPr>
                <w:rFonts w:hint="eastAsia" w:ascii="Times New Roman" w:hAnsi="Times New Roman" w:eastAsia="宋体"/>
                <w:b w:val="0"/>
                <w:bCs w:val="0"/>
                <w:sz w:val="24"/>
                <w:szCs w:val="24"/>
                <w:lang w:val="en-US" w:eastAsia="zh-CN"/>
              </w:rPr>
              <w:t>23</w:t>
            </w:r>
            <w:r>
              <w:rPr>
                <w:rFonts w:hint="default" w:ascii="Times New Roman" w:hAnsi="Times New Roman" w:eastAsia="宋体"/>
                <w:b w:val="0"/>
                <w:bCs w:val="0"/>
                <w:sz w:val="24"/>
                <w:szCs w:val="24"/>
                <w:lang w:val="en-US" w:eastAsia="zh-CN"/>
              </w:rPr>
              <w:t>年度省级参评企事业单位环保信用评价结果的通知》、《怀化市2023年度市级参评企事业单位环保信用评价拟定结果公示》可知，园区内无企业列入黑名单。</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1CE57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5D07F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E8278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w:t>
            </w:r>
            <w:r>
              <w:rPr>
                <w:rFonts w:hint="eastAsia" w:ascii="Times New Roman" w:hAnsi="Times New Roman" w:eastAsia="宋体"/>
                <w:b w:val="0"/>
                <w:bCs w:val="0"/>
                <w:sz w:val="24"/>
                <w:szCs w:val="24"/>
                <w:lang w:val="en-US" w:eastAsia="zh-CN"/>
              </w:rPr>
              <w:t>4</w:t>
            </w:r>
          </w:p>
        </w:tc>
        <w:tc>
          <w:tcPr>
            <w:tcW w:w="1047" w:type="dxa"/>
            <w:vMerge w:val="restart"/>
            <w:tcBorders>
              <w:top w:val="single" w:color="auto" w:sz="8" w:space="0"/>
              <w:left w:val="single" w:color="auto" w:sz="8" w:space="0"/>
              <w:bottom w:val="single" w:color="auto" w:sz="8" w:space="0"/>
              <w:right w:val="single" w:color="auto" w:sz="8" w:space="0"/>
            </w:tcBorders>
            <w:shd w:val="clear" w:color="auto" w:fill="auto"/>
            <w:noWrap w:val="0"/>
            <w:vAlign w:val="center"/>
          </w:tcPr>
          <w:p w14:paraId="50C133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风险防控</w:t>
            </w:r>
          </w:p>
        </w:tc>
        <w:tc>
          <w:tcPr>
            <w:tcW w:w="114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BFADF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环境应急保障能力建设</w:t>
            </w: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7EE887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产业园区未按要求制定或修编园区突发环境事件应急预案、未定期组织开展应急演练、环境应急设施和救援物资配备不符合规定、环境风险防范措施不到位、未建设应急指挥平台</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FB62E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w:t>
            </w:r>
            <w:r>
              <w:rPr>
                <w:rFonts w:hint="eastAsia" w:ascii="Times New Roman" w:hAnsi="Times New Roman" w:eastAsia="宋体"/>
                <w:b w:val="0"/>
                <w:bCs w:val="0"/>
                <w:sz w:val="24"/>
                <w:szCs w:val="24"/>
                <w:lang w:val="en-US" w:eastAsia="zh-CN"/>
              </w:rPr>
              <w:t>2</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A4B6F5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2021年12月沅陵产业开发区完成了突发环境事件应急预案修编工作，2022年3月于湖南省生态环境厅备案。园区于</w:t>
            </w:r>
            <w:r>
              <w:rPr>
                <w:rFonts w:hint="eastAsia" w:ascii="Times New Roman" w:hAnsi="Times New Roman" w:eastAsia="宋体"/>
                <w:b w:val="0"/>
                <w:bCs w:val="0"/>
                <w:sz w:val="24"/>
                <w:szCs w:val="24"/>
                <w:lang w:val="en-US" w:eastAsia="zh-CN"/>
              </w:rPr>
              <w:t>2024</w:t>
            </w:r>
            <w:r>
              <w:rPr>
                <w:rFonts w:hint="default" w:ascii="Times New Roman" w:hAnsi="Times New Roman" w:eastAsia="宋体"/>
                <w:b w:val="0"/>
                <w:bCs w:val="0"/>
                <w:sz w:val="24"/>
                <w:szCs w:val="24"/>
                <w:lang w:val="en-US" w:eastAsia="zh-CN"/>
              </w:rPr>
              <w:t>年</w:t>
            </w:r>
            <w:r>
              <w:rPr>
                <w:rFonts w:hint="eastAsia" w:ascii="Times New Roman" w:hAnsi="Times New Roman" w:eastAsia="宋体"/>
                <w:b w:val="0"/>
                <w:bCs w:val="0"/>
                <w:sz w:val="24"/>
                <w:szCs w:val="24"/>
                <w:lang w:val="en-US" w:eastAsia="zh-CN"/>
              </w:rPr>
              <w:t>7</w:t>
            </w:r>
            <w:r>
              <w:rPr>
                <w:rFonts w:hint="default" w:ascii="Times New Roman" w:hAnsi="Times New Roman" w:eastAsia="宋体"/>
                <w:b w:val="0"/>
                <w:bCs w:val="0"/>
                <w:sz w:val="24"/>
                <w:szCs w:val="24"/>
                <w:lang w:val="en-US" w:eastAsia="zh-CN"/>
              </w:rPr>
              <w:t>月开展了沅陵县向华电子科技有限公司危险化学品泄漏突发环境事件应急演练，完善了应急物资储备，全面提升园区及企业风险防控和事故应急处置能力，园区按修订后的产业开发区突发环境事件应急预案的要求配备和补充了环境应急救援物资、环境风险防范措施到位，并依托沅陵产业开发区生态环境管理监管平台和沅陵县应急管理中心、怀化市生态环境局沅陵分局突发环境事件应急指挥体系与平台。</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6CF3B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0</w:t>
            </w:r>
          </w:p>
        </w:tc>
      </w:tr>
      <w:tr w14:paraId="5CCE7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AB9A6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15</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3A1592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vMerge w:val="restart"/>
            <w:tcBorders>
              <w:top w:val="single" w:color="auto" w:sz="8" w:space="0"/>
              <w:left w:val="single" w:color="auto" w:sz="8" w:space="0"/>
              <w:bottom w:val="single" w:color="auto" w:sz="8" w:space="0"/>
              <w:right w:val="single" w:color="auto" w:sz="8" w:space="0"/>
            </w:tcBorders>
            <w:shd w:val="clear" w:color="auto" w:fill="auto"/>
            <w:noWrap w:val="0"/>
            <w:vAlign w:val="center"/>
          </w:tcPr>
          <w:p w14:paraId="0DA6A7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环境风险</w:t>
            </w: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F26DEF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产业园区发生一般、较大突发环境事件或生态破坏事件。</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12A1A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-2</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2B2B4A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2024</w:t>
            </w:r>
            <w:r>
              <w:rPr>
                <w:rFonts w:hint="default" w:ascii="Times New Roman" w:hAnsi="Times New Roman" w:eastAsia="宋体"/>
                <w:b w:val="0"/>
                <w:bCs w:val="0"/>
                <w:sz w:val="24"/>
                <w:szCs w:val="24"/>
                <w:lang w:val="en-US" w:eastAsia="zh-CN"/>
              </w:rPr>
              <w:t>年产业园区未发生一般、较大突发环境事件或生态破坏事件。</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E64D8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7A40C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CC9B6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16</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14896F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676B46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9D9CA8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产业园区存在被中央或省级环保督察、生态环境警示片等反馈问题，或出现被省级及以上主管部门挂牌督办或被省级主管部门约谈、典型案例曝光、区域限批、移交问责等情况。</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51F1D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-4</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2252BA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2024</w:t>
            </w:r>
            <w:r>
              <w:rPr>
                <w:rFonts w:hint="default" w:ascii="Times New Roman" w:hAnsi="Times New Roman" w:eastAsia="宋体"/>
                <w:b w:val="0"/>
                <w:bCs w:val="0"/>
                <w:sz w:val="24"/>
                <w:szCs w:val="24"/>
                <w:lang w:val="en-US" w:eastAsia="zh-CN"/>
              </w:rPr>
              <w:t>年，产业园区不存在被中央或省级环保督察、生态环境警示片等反馈问题，或出现被省级及以上主管部门挂牌督办或被省级主管部门约谈、典型案例曝光、区域限批、移交问责等情况。</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D1ED3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2A2E8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B1CDF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17</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76F77F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24E92C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724C77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因发生突出生态环境问题被中央层面约谈、典型案例曝光、区域限批、移交问责等情况或发生重、特大突发环境事件或生态破坏事件。产业园区存在出台“土政策”或以其他方式干扰执法，妨碍生态环境部门依法查处环境违法问题的行为，情节严重或者造成严重后果的。</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6AF97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直接评为环保风险园区</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67ED9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无</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4AE1F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225AA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AEAFA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18</w:t>
            </w:r>
          </w:p>
        </w:tc>
        <w:tc>
          <w:tcPr>
            <w:tcW w:w="1047" w:type="dxa"/>
            <w:vMerge w:val="restart"/>
            <w:tcBorders>
              <w:top w:val="single" w:color="auto" w:sz="8" w:space="0"/>
              <w:left w:val="single" w:color="auto" w:sz="8" w:space="0"/>
              <w:bottom w:val="single" w:color="auto" w:sz="8" w:space="0"/>
              <w:right w:val="single" w:color="auto" w:sz="8" w:space="0"/>
            </w:tcBorders>
            <w:shd w:val="clear" w:color="auto" w:fill="auto"/>
            <w:noWrap w:val="0"/>
            <w:vAlign w:val="center"/>
          </w:tcPr>
          <w:p w14:paraId="38D4AE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绿色发展</w:t>
            </w:r>
          </w:p>
        </w:tc>
        <w:tc>
          <w:tcPr>
            <w:tcW w:w="114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F0740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污染物减排</w:t>
            </w: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4BBA1C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产业园区单位GDP主要污染物排放量排名前10%。</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C95C0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0714C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无</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4407B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2C64E0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1E014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19</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640D07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50C12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创新与示范</w:t>
            </w: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8CDA27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产业园区在生态环境保护和绿色发展领域获得省部级及以上表彰、推荐推广。</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B7DCC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+2</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96D17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无</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F9797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1D595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212E2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20</w:t>
            </w:r>
          </w:p>
        </w:tc>
        <w:tc>
          <w:tcPr>
            <w:tcW w:w="104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6F414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公众参与</w:t>
            </w:r>
          </w:p>
        </w:tc>
        <w:tc>
          <w:tcPr>
            <w:tcW w:w="114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AB918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舆情与投诉</w:t>
            </w: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D1DE1D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产业园区因环境问题引发集中或长时间信访、投诉、上访，引发负面舆情。</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1F89A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19379B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2024</w:t>
            </w:r>
            <w:r>
              <w:rPr>
                <w:rFonts w:hint="default" w:ascii="Times New Roman" w:hAnsi="Times New Roman" w:eastAsia="宋体"/>
                <w:b w:val="0"/>
                <w:bCs w:val="0"/>
                <w:sz w:val="24"/>
                <w:szCs w:val="24"/>
                <w:lang w:val="en-US" w:eastAsia="zh-CN"/>
              </w:rPr>
              <w:t>年，产业园区不存在因环境问题引发集中或长时间信访、投诉、上访，引发负面舆情。</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4933F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78F0D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DCBC6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2</w:t>
            </w:r>
            <w:r>
              <w:rPr>
                <w:rFonts w:hint="eastAsia" w:ascii="Times New Roman" w:hAnsi="Times New Roman" w:eastAsia="宋体"/>
                <w:b w:val="0"/>
                <w:bCs w:val="0"/>
                <w:sz w:val="24"/>
                <w:szCs w:val="24"/>
                <w:lang w:val="en-US" w:eastAsia="zh-CN"/>
              </w:rPr>
              <w:t>1</w:t>
            </w:r>
          </w:p>
        </w:tc>
        <w:tc>
          <w:tcPr>
            <w:tcW w:w="1047" w:type="dxa"/>
            <w:vMerge w:val="restart"/>
            <w:tcBorders>
              <w:top w:val="single" w:color="auto" w:sz="8" w:space="0"/>
              <w:left w:val="single" w:color="auto" w:sz="8" w:space="0"/>
              <w:bottom w:val="single" w:color="auto" w:sz="8" w:space="0"/>
              <w:right w:val="single" w:color="auto" w:sz="8" w:space="0"/>
            </w:tcBorders>
            <w:shd w:val="clear" w:color="auto" w:fill="auto"/>
            <w:noWrap w:val="0"/>
            <w:vAlign w:val="center"/>
          </w:tcPr>
          <w:p w14:paraId="7027C6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其他</w:t>
            </w:r>
          </w:p>
        </w:tc>
        <w:tc>
          <w:tcPr>
            <w:tcW w:w="1144" w:type="dxa"/>
            <w:vMerge w:val="restart"/>
            <w:tcBorders>
              <w:top w:val="single" w:color="auto" w:sz="8" w:space="0"/>
              <w:left w:val="single" w:color="auto" w:sz="8" w:space="0"/>
              <w:bottom w:val="single" w:color="auto" w:sz="8" w:space="0"/>
              <w:right w:val="single" w:color="auto" w:sz="8" w:space="0"/>
            </w:tcBorders>
            <w:shd w:val="clear" w:color="auto" w:fill="auto"/>
            <w:noWrap w:val="0"/>
            <w:vAlign w:val="center"/>
          </w:tcPr>
          <w:p w14:paraId="717CE5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w:t>
            </w: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8BA841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highlight w:val="none"/>
                <w:lang w:val="en-US" w:eastAsia="zh-CN"/>
              </w:rPr>
            </w:pPr>
            <w:r>
              <w:rPr>
                <w:rFonts w:hint="default" w:ascii="Times New Roman" w:hAnsi="Times New Roman" w:eastAsia="宋体"/>
                <w:b w:val="0"/>
                <w:bCs w:val="0"/>
                <w:sz w:val="24"/>
                <w:szCs w:val="24"/>
                <w:highlight w:val="none"/>
                <w:lang w:val="en-US" w:eastAsia="zh-CN"/>
              </w:rPr>
              <w:t>产业园区未按要求完成省生态环境厅其他年度任务。</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33A24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highlight w:val="none"/>
                <w:lang w:val="en-US" w:eastAsia="zh-CN"/>
              </w:rPr>
            </w:pPr>
            <w:r>
              <w:rPr>
                <w:rFonts w:hint="default" w:ascii="Times New Roman" w:hAnsi="Times New Roman" w:eastAsia="宋体"/>
                <w:b w:val="0"/>
                <w:bCs w:val="0"/>
                <w:sz w:val="24"/>
                <w:szCs w:val="24"/>
                <w:highlight w:val="none"/>
                <w:lang w:val="en-US" w:eastAsia="zh-CN"/>
              </w:rPr>
              <w:t>-1</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BAC29C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highlight w:val="none"/>
                <w:lang w:val="en-US" w:eastAsia="zh-CN"/>
              </w:rPr>
            </w:pPr>
            <w:r>
              <w:rPr>
                <w:rFonts w:hint="eastAsia"/>
                <w:b w:val="0"/>
                <w:bCs w:val="0"/>
                <w:sz w:val="24"/>
                <w:szCs w:val="24"/>
                <w:highlight w:val="none"/>
                <w:lang w:val="en-US" w:eastAsia="zh-CN"/>
              </w:rPr>
              <w:t>2024年，</w:t>
            </w:r>
            <w:bookmarkStart w:id="25" w:name="_GoBack"/>
            <w:bookmarkEnd w:id="25"/>
            <w:r>
              <w:rPr>
                <w:rFonts w:hint="eastAsia"/>
                <w:b w:val="0"/>
                <w:bCs w:val="0"/>
                <w:sz w:val="24"/>
                <w:szCs w:val="24"/>
                <w:highlight w:val="none"/>
                <w:lang w:val="en-US" w:eastAsia="zh-CN"/>
              </w:rPr>
              <w:t>产业园区不涉及省生态环境厅要求完成的其他年度任务。</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9D3BF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70F45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850D6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2</w:t>
            </w:r>
            <w:r>
              <w:rPr>
                <w:rFonts w:hint="eastAsia" w:ascii="Times New Roman" w:hAnsi="Times New Roman" w:eastAsia="宋体"/>
                <w:b w:val="0"/>
                <w:bCs w:val="0"/>
                <w:sz w:val="24"/>
                <w:szCs w:val="24"/>
                <w:lang w:val="en-US" w:eastAsia="zh-CN"/>
              </w:rPr>
              <w:t>2</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4AC70D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338E7C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F23FCA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产业园区存在出台</w:t>
            </w:r>
            <w:r>
              <w:rPr>
                <w:rFonts w:hint="eastAsia" w:ascii="Times New Roman" w:hAnsi="Times New Roman" w:eastAsia="宋体"/>
                <w:b w:val="0"/>
                <w:bCs w:val="0"/>
                <w:sz w:val="24"/>
                <w:szCs w:val="24"/>
                <w:lang w:val="en-US" w:eastAsia="zh-CN"/>
              </w:rPr>
              <w:t>“</w:t>
            </w:r>
            <w:r>
              <w:rPr>
                <w:rFonts w:hint="default" w:ascii="Times New Roman" w:hAnsi="Times New Roman" w:eastAsia="宋体"/>
                <w:b w:val="0"/>
                <w:bCs w:val="0"/>
                <w:sz w:val="24"/>
                <w:szCs w:val="24"/>
                <w:lang w:val="en-US" w:eastAsia="zh-CN"/>
              </w:rPr>
              <w:t>土政策</w:t>
            </w:r>
            <w:r>
              <w:rPr>
                <w:rFonts w:hint="eastAsia" w:ascii="Times New Roman" w:hAnsi="Times New Roman" w:eastAsia="宋体"/>
                <w:b w:val="0"/>
                <w:bCs w:val="0"/>
                <w:sz w:val="24"/>
                <w:szCs w:val="24"/>
                <w:lang w:val="en-US" w:eastAsia="zh-CN"/>
              </w:rPr>
              <w:t>”</w:t>
            </w:r>
            <w:r>
              <w:rPr>
                <w:rFonts w:hint="default" w:ascii="Times New Roman" w:hAnsi="Times New Roman" w:eastAsia="宋体"/>
                <w:b w:val="0"/>
                <w:bCs w:val="0"/>
                <w:sz w:val="24"/>
                <w:szCs w:val="24"/>
                <w:lang w:val="en-US" w:eastAsia="zh-CN"/>
              </w:rPr>
              <w:t>或以其他方式干扰执法，妨碍生态环境部门依法查处环境违法问题的行为。</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FB116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42A674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2024</w:t>
            </w:r>
            <w:r>
              <w:rPr>
                <w:rFonts w:hint="default" w:ascii="Times New Roman" w:hAnsi="Times New Roman" w:eastAsia="宋体"/>
                <w:b w:val="0"/>
                <w:bCs w:val="0"/>
                <w:sz w:val="24"/>
                <w:szCs w:val="24"/>
                <w:lang w:val="en-US" w:eastAsia="zh-CN"/>
              </w:rPr>
              <w:t>年，产业园区不存在出台</w:t>
            </w:r>
            <w:r>
              <w:rPr>
                <w:rFonts w:hint="eastAsia" w:ascii="Times New Roman" w:hAnsi="Times New Roman" w:eastAsia="宋体"/>
                <w:b w:val="0"/>
                <w:bCs w:val="0"/>
                <w:sz w:val="24"/>
                <w:szCs w:val="24"/>
                <w:lang w:val="en-US" w:eastAsia="zh-CN"/>
              </w:rPr>
              <w:t>“</w:t>
            </w:r>
            <w:r>
              <w:rPr>
                <w:rFonts w:hint="default" w:ascii="Times New Roman" w:hAnsi="Times New Roman" w:eastAsia="宋体"/>
                <w:b w:val="0"/>
                <w:bCs w:val="0"/>
                <w:sz w:val="24"/>
                <w:szCs w:val="24"/>
                <w:lang w:val="en-US" w:eastAsia="zh-CN"/>
              </w:rPr>
              <w:t>土政策</w:t>
            </w:r>
            <w:r>
              <w:rPr>
                <w:rFonts w:hint="eastAsia" w:ascii="Times New Roman" w:hAnsi="Times New Roman" w:eastAsia="宋体"/>
                <w:b w:val="0"/>
                <w:bCs w:val="0"/>
                <w:sz w:val="24"/>
                <w:szCs w:val="24"/>
                <w:lang w:val="en-US" w:eastAsia="zh-CN"/>
              </w:rPr>
              <w:t>”</w:t>
            </w:r>
            <w:r>
              <w:rPr>
                <w:rFonts w:hint="default" w:ascii="Times New Roman" w:hAnsi="Times New Roman" w:eastAsia="宋体"/>
                <w:b w:val="0"/>
                <w:bCs w:val="0"/>
                <w:sz w:val="24"/>
                <w:szCs w:val="24"/>
                <w:lang w:val="en-US" w:eastAsia="zh-CN"/>
              </w:rPr>
              <w:t>或以其他方式干扰执法，妨碍生态环境部门依法查处环境违法问题的行为。</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9F3C9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6C73A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09228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2</w:t>
            </w:r>
            <w:r>
              <w:rPr>
                <w:rFonts w:hint="eastAsia" w:ascii="Times New Roman" w:hAnsi="Times New Roman" w:eastAsia="宋体"/>
                <w:b w:val="0"/>
                <w:bCs w:val="0"/>
                <w:sz w:val="24"/>
                <w:szCs w:val="24"/>
                <w:lang w:val="en-US" w:eastAsia="zh-CN"/>
              </w:rPr>
              <w:t>3</w:t>
            </w:r>
          </w:p>
        </w:tc>
        <w:tc>
          <w:tcPr>
            <w:tcW w:w="104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79D200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114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09CE40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p>
        </w:tc>
        <w:tc>
          <w:tcPr>
            <w:tcW w:w="4613"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F8715E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产业园区连续两年被评为环保诚信园区。</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74299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+1</w:t>
            </w:r>
          </w:p>
        </w:tc>
        <w:tc>
          <w:tcPr>
            <w:tcW w:w="4757"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170A3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无</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E8B2B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0</w:t>
            </w:r>
          </w:p>
        </w:tc>
      </w:tr>
      <w:tr w14:paraId="2F8AD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0D4CA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2</w:t>
            </w:r>
            <w:r>
              <w:rPr>
                <w:rFonts w:hint="eastAsia" w:ascii="Times New Roman" w:hAnsi="Times New Roman" w:eastAsia="宋体"/>
                <w:b w:val="0"/>
                <w:bCs w:val="0"/>
                <w:sz w:val="24"/>
                <w:szCs w:val="24"/>
                <w:lang w:val="en-US" w:eastAsia="zh-CN"/>
              </w:rPr>
              <w:t>4</w:t>
            </w:r>
          </w:p>
        </w:tc>
        <w:tc>
          <w:tcPr>
            <w:tcW w:w="12500" w:type="dxa"/>
            <w:gridSpan w:val="5"/>
            <w:tcBorders>
              <w:top w:val="single" w:color="auto" w:sz="8" w:space="0"/>
              <w:left w:val="single" w:color="auto" w:sz="8" w:space="0"/>
              <w:bottom w:val="single" w:color="auto" w:sz="8" w:space="0"/>
              <w:right w:val="single" w:color="auto" w:sz="8" w:space="0"/>
            </w:tcBorders>
            <w:shd w:val="clear" w:color="auto" w:fill="auto"/>
            <w:noWrap w:val="0"/>
            <w:vAlign w:val="center"/>
          </w:tcPr>
          <w:p w14:paraId="3C3B7A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总分值</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0866F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10</w:t>
            </w:r>
          </w:p>
        </w:tc>
      </w:tr>
      <w:tr w14:paraId="283C6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54CCE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2</w:t>
            </w:r>
            <w:r>
              <w:rPr>
                <w:rFonts w:hint="eastAsia" w:ascii="Times New Roman" w:hAnsi="Times New Roman" w:eastAsia="宋体"/>
                <w:b w:val="0"/>
                <w:bCs w:val="0"/>
                <w:sz w:val="24"/>
                <w:szCs w:val="24"/>
                <w:lang w:val="en-US" w:eastAsia="zh-CN"/>
              </w:rPr>
              <w:t>5</w:t>
            </w:r>
          </w:p>
        </w:tc>
        <w:tc>
          <w:tcPr>
            <w:tcW w:w="12500" w:type="dxa"/>
            <w:gridSpan w:val="5"/>
            <w:tcBorders>
              <w:top w:val="single" w:color="auto" w:sz="8" w:space="0"/>
              <w:left w:val="single" w:color="auto" w:sz="8" w:space="0"/>
              <w:bottom w:val="single" w:color="auto" w:sz="8" w:space="0"/>
              <w:right w:val="single" w:color="auto" w:sz="8" w:space="0"/>
            </w:tcBorders>
            <w:shd w:val="clear" w:color="auto" w:fill="auto"/>
            <w:noWrap w:val="0"/>
            <w:vAlign w:val="center"/>
          </w:tcPr>
          <w:p w14:paraId="5F6AB6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环保信用等级</w:t>
            </w:r>
          </w:p>
        </w:tc>
        <w:tc>
          <w:tcPr>
            <w:tcW w:w="93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EC635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val="0"/>
                <w:bCs w:val="0"/>
                <w:sz w:val="24"/>
                <w:szCs w:val="24"/>
                <w:lang w:val="en-US" w:eastAsia="zh-CN"/>
              </w:rPr>
            </w:pPr>
            <w:r>
              <w:rPr>
                <w:rFonts w:hint="default" w:ascii="Times New Roman" w:hAnsi="Times New Roman" w:eastAsia="宋体"/>
                <w:b w:val="0"/>
                <w:bCs w:val="0"/>
                <w:sz w:val="24"/>
                <w:szCs w:val="24"/>
                <w:lang w:val="en-US" w:eastAsia="zh-CN"/>
              </w:rPr>
              <w:t>环保诚信园区</w:t>
            </w:r>
          </w:p>
        </w:tc>
      </w:tr>
    </w:tbl>
    <w:p w14:paraId="12966260">
      <w:pPr>
        <w:pStyle w:val="2"/>
        <w:rPr>
          <w:rFonts w:hint="default"/>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95" w:charSpace="0"/>
        </w:sectPr>
      </w:pPr>
    </w:p>
    <w:p w14:paraId="4F86503D">
      <w:pPr>
        <w:bidi w:val="0"/>
        <w:outlineLvl w:val="1"/>
        <w:rPr>
          <w:rFonts w:hint="default"/>
          <w:b/>
          <w:bCs/>
          <w:lang w:val="en-US" w:eastAsia="zh-CN"/>
        </w:rPr>
      </w:pPr>
      <w:bookmarkStart w:id="10" w:name="_Toc21267"/>
      <w:r>
        <w:rPr>
          <w:rFonts w:hint="default"/>
          <w:b/>
          <w:bCs/>
          <w:lang w:val="en-US" w:eastAsia="zh-CN"/>
        </w:rPr>
        <w:t>（九）环境风险管理</w:t>
      </w:r>
      <w:bookmarkEnd w:id="10"/>
    </w:p>
    <w:p w14:paraId="1AA1A7DF">
      <w:pPr>
        <w:bidi w:val="0"/>
        <w:rPr>
          <w:rFonts w:hint="default"/>
          <w:b/>
          <w:bCs/>
          <w:lang w:val="en-US" w:eastAsia="zh-CN"/>
        </w:rPr>
      </w:pPr>
      <w:r>
        <w:rPr>
          <w:rFonts w:hint="default"/>
          <w:b/>
          <w:bCs/>
          <w:lang w:val="en-US" w:eastAsia="zh-CN"/>
        </w:rPr>
        <w:t>1、环评及批复文件中环境风险防控措施的落实情况。</w:t>
      </w:r>
    </w:p>
    <w:p w14:paraId="1A79995A">
      <w:pPr>
        <w:bidi w:val="0"/>
        <w:rPr>
          <w:rFonts w:hint="default"/>
          <w:lang w:val="en-US" w:eastAsia="zh-CN"/>
        </w:rPr>
      </w:pPr>
      <w:r>
        <w:rPr>
          <w:rFonts w:hint="default"/>
          <w:lang w:val="en-US" w:eastAsia="zh-CN"/>
        </w:rPr>
        <w:t>沅陵产业开发区严格对照园区环评批复中的风险防控措施的要求开展了自查，环评批复中要求的风险防控措施基本落实到位，详见表1《沅陵产业开发区（湘环评</w:t>
      </w:r>
      <w:r>
        <w:rPr>
          <w:rFonts w:hint="eastAsia"/>
          <w:lang w:val="en-US" w:eastAsia="zh-CN"/>
        </w:rPr>
        <w:t>[</w:t>
      </w:r>
      <w:r>
        <w:rPr>
          <w:rFonts w:hint="default"/>
          <w:lang w:val="en-US" w:eastAsia="zh-CN"/>
        </w:rPr>
        <w:t>2011</w:t>
      </w:r>
      <w:r>
        <w:rPr>
          <w:rFonts w:hint="eastAsia"/>
          <w:lang w:val="en-US" w:eastAsia="zh-CN"/>
        </w:rPr>
        <w:t>]</w:t>
      </w:r>
      <w:r>
        <w:rPr>
          <w:rFonts w:hint="default"/>
          <w:lang w:val="en-US" w:eastAsia="zh-CN"/>
        </w:rPr>
        <w:t>5号）批复落实情况》。</w:t>
      </w:r>
    </w:p>
    <w:p w14:paraId="5A2B484F">
      <w:pPr>
        <w:bidi w:val="0"/>
        <w:rPr>
          <w:rFonts w:hint="default"/>
          <w:b/>
          <w:bCs/>
          <w:lang w:val="en-US" w:eastAsia="zh-CN"/>
        </w:rPr>
      </w:pPr>
      <w:r>
        <w:rPr>
          <w:rFonts w:hint="default"/>
          <w:b/>
          <w:bCs/>
          <w:lang w:val="en-US" w:eastAsia="zh-CN"/>
        </w:rPr>
        <w:t>2、环境应急保障能力建设</w:t>
      </w:r>
    </w:p>
    <w:p w14:paraId="3E2AF821">
      <w:pPr>
        <w:bidi w:val="0"/>
        <w:rPr>
          <w:rFonts w:hint="default"/>
          <w:b/>
          <w:bCs/>
          <w:lang w:val="en-US" w:eastAsia="zh-CN"/>
        </w:rPr>
      </w:pPr>
      <w:r>
        <w:rPr>
          <w:rFonts w:hint="default"/>
          <w:b/>
          <w:bCs/>
          <w:lang w:val="en-US" w:eastAsia="zh-CN"/>
        </w:rPr>
        <w:t>（1）突发环境事件应急预案编制备案情况</w:t>
      </w:r>
    </w:p>
    <w:p w14:paraId="779F9257">
      <w:pPr>
        <w:bidi w:val="0"/>
        <w:rPr>
          <w:rFonts w:hint="default"/>
          <w:lang w:val="en-US" w:eastAsia="zh-CN"/>
        </w:rPr>
      </w:pPr>
      <w:r>
        <w:rPr>
          <w:rFonts w:hint="default"/>
          <w:lang w:val="en-US" w:eastAsia="zh-CN"/>
        </w:rPr>
        <w:t>2021年12月，园区组织修编了《沅陵县工业集中区突发环境事件应急预案（2021年修订）》，并于2022年3月在湖南省生态环境厅备案（备案编号为43122-2022-040-G）。</w:t>
      </w:r>
    </w:p>
    <w:p w14:paraId="40FB8C86">
      <w:pPr>
        <w:bidi w:val="0"/>
        <w:rPr>
          <w:rFonts w:hint="default"/>
          <w:b/>
          <w:bCs/>
          <w:lang w:val="en-US" w:eastAsia="zh-CN"/>
        </w:rPr>
      </w:pPr>
      <w:r>
        <w:rPr>
          <w:rFonts w:hint="default"/>
          <w:b/>
          <w:bCs/>
          <w:lang w:val="en-US" w:eastAsia="zh-CN"/>
        </w:rPr>
        <w:t>（2）环境应急救援物资储备清单及相关管理制度</w:t>
      </w:r>
    </w:p>
    <w:p w14:paraId="31B9EBA9">
      <w:pPr>
        <w:bidi w:val="0"/>
        <w:rPr>
          <w:rFonts w:hint="default"/>
          <w:lang w:val="en-US" w:eastAsia="zh-CN"/>
        </w:rPr>
      </w:pPr>
      <w:r>
        <w:rPr>
          <w:rFonts w:hint="default"/>
          <w:lang w:val="en-US" w:eastAsia="zh-CN"/>
        </w:rPr>
        <w:t>应急物资、装备是突发环境事件应急救援的重要物质保障，也是保证应急队伍有效开展工作的基础。应急救援物资包括企业内部应急资源和外部应急资源，园区建立了区域突发环境事件应急装备紧急调度机制，做到应急装备资源共享，使有限的资源在应急处置中能够充分发挥作用。</w:t>
      </w:r>
    </w:p>
    <w:p w14:paraId="1C1B9C50">
      <w:pPr>
        <w:bidi w:val="0"/>
        <w:rPr>
          <w:rFonts w:hint="default"/>
          <w:lang w:val="en-US" w:eastAsia="zh-CN"/>
        </w:rPr>
      </w:pPr>
      <w:r>
        <w:rPr>
          <w:rFonts w:hint="default"/>
          <w:lang w:val="en-US" w:eastAsia="zh-CN"/>
        </w:rPr>
        <w:t>根据应急预案的要求，园区管委会目前已经购买了消防急救包、医用急救箱、应急照相器材、应急录音设备、防护手套、干粉灭火器等部分应急物质及装备。一旦发生特别重大、重大或较大的突发环境事件，应急指挥办公室负责召集相关部门对事件的可能影响进行分析、应急物资与设备的紧急动员与调用。</w:t>
      </w:r>
    </w:p>
    <w:p w14:paraId="1430AF96">
      <w:pPr>
        <w:bidi w:val="0"/>
        <w:ind w:left="0" w:leftChars="0" w:firstLine="0" w:firstLineChars="0"/>
        <w:outlineLvl w:val="0"/>
        <w:rPr>
          <w:rFonts w:hint="default"/>
          <w:b/>
          <w:bCs/>
          <w:lang w:val="en-US" w:eastAsia="zh-CN"/>
        </w:rPr>
      </w:pPr>
      <w:bookmarkStart w:id="11" w:name="_Toc5093"/>
      <w:r>
        <w:rPr>
          <w:rFonts w:hint="default"/>
          <w:b/>
          <w:bCs/>
          <w:lang w:val="en-US" w:eastAsia="zh-CN"/>
        </w:rPr>
        <w:t>三、园区环保工作成效、主要措施做法</w:t>
      </w:r>
      <w:bookmarkEnd w:id="11"/>
    </w:p>
    <w:p w14:paraId="33E82614">
      <w:pPr>
        <w:bidi w:val="0"/>
        <w:outlineLvl w:val="1"/>
        <w:rPr>
          <w:rFonts w:hint="default"/>
          <w:b/>
          <w:bCs/>
          <w:lang w:val="en-US" w:eastAsia="zh-CN"/>
        </w:rPr>
      </w:pPr>
      <w:bookmarkStart w:id="12" w:name="_Toc30620"/>
      <w:r>
        <w:rPr>
          <w:rFonts w:hint="eastAsia"/>
          <w:b/>
          <w:bCs/>
          <w:lang w:val="en-US" w:eastAsia="zh-CN"/>
        </w:rPr>
        <w:t>（一）</w:t>
      </w:r>
      <w:r>
        <w:rPr>
          <w:rFonts w:hint="default"/>
          <w:b/>
          <w:bCs/>
          <w:lang w:val="en-US" w:eastAsia="zh-CN"/>
        </w:rPr>
        <w:t>规范环境准入</w:t>
      </w:r>
      <w:bookmarkEnd w:id="12"/>
    </w:p>
    <w:p w14:paraId="652EC8C4">
      <w:pPr>
        <w:bidi w:val="0"/>
        <w:rPr>
          <w:rFonts w:hint="default"/>
          <w:lang w:val="en-US" w:eastAsia="zh-CN"/>
        </w:rPr>
      </w:pPr>
      <w:r>
        <w:rPr>
          <w:rFonts w:hint="default"/>
          <w:lang w:val="en-US" w:eastAsia="zh-CN"/>
        </w:rPr>
        <w:t>根据园区的产业定位和产业布局严格执行</w:t>
      </w:r>
      <w:r>
        <w:rPr>
          <w:rFonts w:hint="eastAsia"/>
          <w:lang w:val="en-US" w:eastAsia="zh-CN"/>
        </w:rPr>
        <w:t>“三</w:t>
      </w:r>
      <w:r>
        <w:rPr>
          <w:rFonts w:hint="default"/>
          <w:lang w:val="en-US" w:eastAsia="zh-CN"/>
        </w:rPr>
        <w:t>线一单</w:t>
      </w:r>
      <w:r>
        <w:rPr>
          <w:rFonts w:hint="eastAsia"/>
          <w:lang w:val="en-US" w:eastAsia="zh-CN"/>
        </w:rPr>
        <w:t>”</w:t>
      </w:r>
      <w:r>
        <w:rPr>
          <w:rFonts w:hint="default"/>
          <w:lang w:val="en-US" w:eastAsia="zh-CN"/>
        </w:rPr>
        <w:t>，对发展空间和产业准入进行严格管控，形成规范化环境准入管理机制，切实推动环境质量持续改善。拟入驻企业严格执行</w:t>
      </w:r>
      <w:r>
        <w:rPr>
          <w:rFonts w:hint="eastAsia"/>
          <w:lang w:val="en-US" w:eastAsia="zh-CN"/>
        </w:rPr>
        <w:t>“三</w:t>
      </w:r>
      <w:r>
        <w:rPr>
          <w:rFonts w:hint="default"/>
          <w:lang w:val="en-US" w:eastAsia="zh-CN"/>
        </w:rPr>
        <w:t>线一单</w:t>
      </w:r>
      <w:r>
        <w:rPr>
          <w:rFonts w:hint="eastAsia"/>
          <w:lang w:val="en-US" w:eastAsia="zh-CN"/>
        </w:rPr>
        <w:t>”</w:t>
      </w:r>
      <w:r>
        <w:rPr>
          <w:rFonts w:hint="default"/>
          <w:lang w:val="en-US" w:eastAsia="zh-CN"/>
        </w:rPr>
        <w:t>，已入园企业均依法开展环境影响评价，符合园区环境准入。并根据湖南省生态环境保护委员会办公室关于印发《湖南省2023年生态环境分区管控成果动态更新工作方案》的通知，根据园区规划环评、跟踪环评和关于发布沅陵产业开发区边界面积及四至范围的通知（601号文）等文件，从主要环境问题和敏感目标、空间布局约束、污染物排放管控要求、环境风险防控、资源利用效率等方面，协助园区对生态准入清单进行相应修订。使园区以</w:t>
      </w:r>
      <w:r>
        <w:rPr>
          <w:rFonts w:hint="eastAsia"/>
          <w:lang w:val="en-US" w:eastAsia="zh-CN"/>
        </w:rPr>
        <w:t>“三</w:t>
      </w:r>
      <w:r>
        <w:rPr>
          <w:rFonts w:hint="default"/>
          <w:lang w:val="en-US" w:eastAsia="zh-CN"/>
        </w:rPr>
        <w:t>线一单</w:t>
      </w:r>
      <w:r>
        <w:rPr>
          <w:rFonts w:hint="eastAsia"/>
          <w:lang w:val="en-US" w:eastAsia="zh-CN"/>
        </w:rPr>
        <w:t>”</w:t>
      </w:r>
      <w:r>
        <w:rPr>
          <w:rFonts w:hint="default"/>
          <w:lang w:val="en-US" w:eastAsia="zh-CN"/>
        </w:rPr>
        <w:t>为核心，在园区招商引资过程中，用“线”管住空间布局、用“单”规范发展行为，禁止高污染、高耗能企业进入，推动绿色高质量项目加快落地，不断优化产业结构和空间布局。2023年6月26日-8月29日经过市局、省厅专家反复审核修改，最终在9月份完成沅陵产业开发区生态环境准入清单定稿，并提交至省厅。</w:t>
      </w:r>
    </w:p>
    <w:p w14:paraId="16D6E8F8">
      <w:pPr>
        <w:bidi w:val="0"/>
        <w:outlineLvl w:val="1"/>
        <w:rPr>
          <w:rFonts w:hint="default"/>
          <w:b/>
          <w:bCs/>
          <w:lang w:val="en-US" w:eastAsia="zh-CN"/>
        </w:rPr>
      </w:pPr>
      <w:bookmarkStart w:id="13" w:name="_Toc21925"/>
      <w:r>
        <w:rPr>
          <w:rFonts w:hint="eastAsia"/>
          <w:b/>
          <w:bCs/>
          <w:lang w:val="en-US" w:eastAsia="zh-CN"/>
        </w:rPr>
        <w:t>（二）</w:t>
      </w:r>
      <w:r>
        <w:rPr>
          <w:rFonts w:hint="default"/>
          <w:b/>
          <w:bCs/>
          <w:lang w:val="en-US" w:eastAsia="zh-CN"/>
        </w:rPr>
        <w:t>推进突出问题整改</w:t>
      </w:r>
      <w:bookmarkEnd w:id="13"/>
    </w:p>
    <w:p w14:paraId="44E4C863">
      <w:pPr>
        <w:bidi w:val="0"/>
        <w:rPr>
          <w:rFonts w:hint="default"/>
          <w:lang w:val="en-US" w:eastAsia="zh-CN"/>
        </w:rPr>
      </w:pPr>
      <w:r>
        <w:rPr>
          <w:rFonts w:hint="default"/>
          <w:lang w:val="en-US" w:eastAsia="zh-CN"/>
        </w:rPr>
        <w:t>定期开展</w:t>
      </w:r>
      <w:r>
        <w:rPr>
          <w:rFonts w:hint="eastAsia"/>
          <w:lang w:val="en-US" w:eastAsia="zh-CN"/>
        </w:rPr>
        <w:t>“</w:t>
      </w:r>
      <w:r>
        <w:rPr>
          <w:rFonts w:hint="default"/>
          <w:lang w:val="en-US" w:eastAsia="zh-CN"/>
        </w:rPr>
        <w:t>洞庭清波</w:t>
      </w:r>
      <w:r>
        <w:rPr>
          <w:rFonts w:hint="eastAsia"/>
          <w:lang w:val="en-US" w:eastAsia="zh-CN"/>
        </w:rPr>
        <w:t>”</w:t>
      </w:r>
      <w:r>
        <w:rPr>
          <w:rFonts w:hint="default"/>
          <w:lang w:val="en-US" w:eastAsia="zh-CN"/>
        </w:rPr>
        <w:t>常态化环境风险隐患排查，在水、气、声、固废、台账等方面全面排查，对照发现的问题和整改要求，查清、查细、查实，做到对环境风险隐患问题和违法问题排查不到位不放过、查处不到位不放过、对检查发现的隐患问题进行分类梳理，提出解决方案，并督促企业落实整改，能够立即整改的要督促企业立即整改，对一时无法整改的环境风险隐患制定整改计划并建立责任清单和销号制度，明确责任人、督办人和整改期限，跟踪到底。确保隐患整改落实到位，污染物实现稳定达标排放，杜绝园区环境风险事件发生。</w:t>
      </w:r>
    </w:p>
    <w:p w14:paraId="53CC3095">
      <w:pPr>
        <w:bidi w:val="0"/>
        <w:outlineLvl w:val="1"/>
        <w:rPr>
          <w:rFonts w:hint="default"/>
          <w:b/>
          <w:bCs/>
          <w:lang w:val="en-US" w:eastAsia="zh-CN"/>
        </w:rPr>
      </w:pPr>
      <w:bookmarkStart w:id="14" w:name="_Toc27886"/>
      <w:r>
        <w:rPr>
          <w:rFonts w:hint="eastAsia"/>
          <w:b/>
          <w:bCs/>
          <w:lang w:val="en-US" w:eastAsia="zh-CN"/>
        </w:rPr>
        <w:t>（三）</w:t>
      </w:r>
      <w:r>
        <w:rPr>
          <w:rFonts w:hint="default"/>
          <w:b/>
          <w:bCs/>
          <w:lang w:val="en-US" w:eastAsia="zh-CN"/>
        </w:rPr>
        <w:t>强化环境污染第三方治理</w:t>
      </w:r>
      <w:bookmarkEnd w:id="14"/>
    </w:p>
    <w:p w14:paraId="15FE7C73">
      <w:pPr>
        <w:bidi w:val="0"/>
        <w:rPr>
          <w:rFonts w:hint="default"/>
          <w:lang w:val="en-US" w:eastAsia="zh-CN"/>
        </w:rPr>
      </w:pPr>
      <w:r>
        <w:rPr>
          <w:rFonts w:hint="default"/>
          <w:lang w:val="en-US" w:eastAsia="zh-CN"/>
        </w:rPr>
        <w:t>一是园区借助环保管家专业技术团队，根据《湖南省生态环境厅&lt;湖南省园区环境污染第三方治理环保服务规范（试行）&gt;的通知》（湘环函（2021）165号），系统性地开展园区及园区内企业现存的环境风险隐患排查，并整理相关问题台账，指明了整改建议和措施，取得了较好的成效，有效提升了园区生态环境技术力量和管理水平；动态更新完善</w:t>
      </w:r>
      <w:r>
        <w:rPr>
          <w:rFonts w:hint="eastAsia"/>
          <w:lang w:val="en-US" w:eastAsia="zh-CN"/>
        </w:rPr>
        <w:t>“</w:t>
      </w:r>
      <w:r>
        <w:rPr>
          <w:rFonts w:hint="default"/>
          <w:lang w:val="en-US" w:eastAsia="zh-CN"/>
        </w:rPr>
        <w:t>一园一档</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一企一档</w:t>
      </w:r>
      <w:r>
        <w:rPr>
          <w:rFonts w:hint="eastAsia"/>
          <w:lang w:val="en-US" w:eastAsia="zh-CN"/>
        </w:rPr>
        <w:t>”</w:t>
      </w:r>
      <w:r>
        <w:rPr>
          <w:rFonts w:hint="default"/>
          <w:lang w:val="en-US" w:eastAsia="zh-CN"/>
        </w:rPr>
        <w:t>；定期进行污水管网巡查。园区定期全面排查污水管网跑、冒、滴漏问题，对发现的管网破损问题，第一时间安排人员及时进行修复，同时建立了巡查记录。有效保证了园区废水收集处理并达标排放。二是借助生态环境监管平台建设团队，按照省厅的部署和要求，完成了园区生态环境监管平台建设，并通过验收。具备园区企业基本信息数据、区域环境质量监测数据、在线监控数据、自行监测数据、智慧电力数据、排污许可证数据等采集和显示功能。有效提升了园区生态环境技术力量和管理水平，对园区生态环境监管起到明显作用。三是开展园区环境质量监测，根据《关于进一步规范和加强产业园区生态环境管理的通知》（湘环发[2020]27号）精神，园区引入第三方检测机构按季度开展园区环境质量监测，在园区环境空气、地表水、地下水、土壤、底泥等方面进行有效监管，及时全面掌握园区环境质量状况和对周边环境影响情况。根据环境质量监测结果，各项监测指标均能满足相应环境质量标准要求。四是组织企业开展环保培训，内容包含了环保前期手续办理、危险废物规范化管理、排污许可证及证后管理等。环保前期手续办理介绍了环评办理流程，提到常见的环评违法行为，并列出了相关案例；竣工环境保护验收办理流程及注意事项，对未验先投列出了案例。危险废物规范化管理介绍了新固废法危废违法行为及相应罚责，并列出了相关案例；同时，对危险废物暂存场所建设、危险废物管理计划备案及年报申报等内容进行详细的讲解。排污许可证及证后管理介绍了排污许可证的管理、取得排污许可证后的违法行为及相应罚责案例，以及其他相应工作的安排和部署。通过各类会议的召开，增强了企业环保意识，提高了企业环保管理能力，大大降低了企业的环境风险。</w:t>
      </w:r>
    </w:p>
    <w:p w14:paraId="11BCDCC5">
      <w:pPr>
        <w:bidi w:val="0"/>
        <w:outlineLvl w:val="1"/>
        <w:rPr>
          <w:rFonts w:hint="default"/>
          <w:b/>
          <w:bCs/>
          <w:lang w:val="en-US" w:eastAsia="zh-CN"/>
        </w:rPr>
      </w:pPr>
      <w:bookmarkStart w:id="15" w:name="_Toc27669"/>
      <w:r>
        <w:rPr>
          <w:rFonts w:hint="eastAsia"/>
          <w:b/>
          <w:bCs/>
          <w:lang w:val="en-US" w:eastAsia="zh-CN"/>
        </w:rPr>
        <w:t>（四）</w:t>
      </w:r>
      <w:r>
        <w:rPr>
          <w:rFonts w:hint="default"/>
          <w:b/>
          <w:bCs/>
          <w:lang w:val="en-US" w:eastAsia="zh-CN"/>
        </w:rPr>
        <w:t>健全环境风险防控机制</w:t>
      </w:r>
      <w:bookmarkEnd w:id="15"/>
    </w:p>
    <w:p w14:paraId="2DAEC267">
      <w:pPr>
        <w:bidi w:val="0"/>
        <w:rPr>
          <w:rFonts w:hint="default"/>
          <w:lang w:val="en-US" w:eastAsia="zh-CN"/>
        </w:rPr>
      </w:pPr>
      <w:r>
        <w:rPr>
          <w:rFonts w:hint="default"/>
          <w:lang w:val="en-US" w:eastAsia="zh-CN"/>
        </w:rPr>
        <w:t>根据《突发环境事件应急管理办法》和园区环境风险防范要求，2021年12月完成《沅陵产业开发区突发环境事件应急预案》修订，2022年3月于湖南省生态环境厅备案（备案编号为43122-2022-040-G），配备环境应急救援物资，</w:t>
      </w:r>
      <w:r>
        <w:rPr>
          <w:rFonts w:hint="eastAsia"/>
          <w:lang w:val="en-US" w:eastAsia="zh-CN"/>
        </w:rPr>
        <w:t>2024</w:t>
      </w:r>
      <w:r>
        <w:rPr>
          <w:rFonts w:hint="default"/>
          <w:lang w:val="en-US" w:eastAsia="zh-CN"/>
        </w:rPr>
        <w:t>年</w:t>
      </w:r>
      <w:r>
        <w:rPr>
          <w:rFonts w:hint="eastAsia"/>
          <w:lang w:val="en-US" w:eastAsia="zh-CN"/>
        </w:rPr>
        <w:t>7</w:t>
      </w:r>
      <w:r>
        <w:rPr>
          <w:rFonts w:hint="default"/>
          <w:lang w:val="en-US" w:eastAsia="zh-CN"/>
        </w:rPr>
        <w:t>月</w:t>
      </w:r>
      <w:r>
        <w:rPr>
          <w:rFonts w:hint="eastAsia"/>
          <w:lang w:val="en-US" w:eastAsia="zh-CN"/>
        </w:rPr>
        <w:t>8</w:t>
      </w:r>
      <w:r>
        <w:rPr>
          <w:rFonts w:hint="default"/>
          <w:lang w:val="en-US" w:eastAsia="zh-CN"/>
        </w:rPr>
        <w:t>日，沅陵产业开发区20</w:t>
      </w:r>
      <w:r>
        <w:rPr>
          <w:rFonts w:hint="eastAsia"/>
          <w:lang w:val="en-US" w:eastAsia="zh-CN"/>
        </w:rPr>
        <w:t>24</w:t>
      </w:r>
      <w:r>
        <w:rPr>
          <w:rFonts w:hint="default"/>
          <w:lang w:val="en-US" w:eastAsia="zh-CN"/>
        </w:rPr>
        <w:t>年度突发环境事件应急演练在</w:t>
      </w:r>
      <w:r>
        <w:rPr>
          <w:rFonts w:hint="eastAsia"/>
          <w:lang w:val="en-US" w:eastAsia="zh-CN"/>
        </w:rPr>
        <w:t>沅陵县向华电子科技有限公司</w:t>
      </w:r>
      <w:r>
        <w:rPr>
          <w:rFonts w:hint="default"/>
          <w:lang w:val="en-US" w:eastAsia="zh-CN"/>
        </w:rPr>
        <w:t>举行。演练事故模拟启动</w:t>
      </w:r>
      <w:r>
        <w:rPr>
          <w:rFonts w:hint="eastAsia"/>
          <w:lang w:val="en-US" w:eastAsia="zh-CN"/>
        </w:rPr>
        <w:t>向华电子科技有限公司应急预案</w:t>
      </w:r>
      <w:r>
        <w:rPr>
          <w:rFonts w:hint="default"/>
          <w:lang w:val="en-US" w:eastAsia="zh-CN"/>
        </w:rPr>
        <w:t>，第一时间疏散公司周围无关人员，应急处置人员进场，用沙袋将企业和园区雨水管网进行截流；同时园区管委会立即启动园区突发环境事件应急预案，采取应急措施</w:t>
      </w:r>
      <w:r>
        <w:rPr>
          <w:rFonts w:hint="eastAsia"/>
          <w:lang w:val="en-US" w:eastAsia="zh-CN"/>
        </w:rPr>
        <w:t>；</w:t>
      </w:r>
      <w:r>
        <w:rPr>
          <w:rFonts w:hint="default"/>
          <w:lang w:val="en-US" w:eastAsia="zh-CN"/>
        </w:rPr>
        <w:t>用吸油棉、吸油毡或用水泵将危险化学品收集到密闭容器中交有危险废物处置资质单位处理。经过多方小组通力协作、联合作战，本次突发环境事件得到妥善处置。最终演练事故得到控制和解决，各参演单位精心准备、密切配合，达到组织演练的预期效果。推动生态环境信息化监管平台建设，夯实生态环境监测预警体系和应急指挥平台。</w:t>
      </w:r>
    </w:p>
    <w:p w14:paraId="4E180C4A">
      <w:pPr>
        <w:bidi w:val="0"/>
        <w:ind w:left="0" w:leftChars="0" w:firstLine="0" w:firstLineChars="0"/>
        <w:outlineLvl w:val="0"/>
        <w:rPr>
          <w:rFonts w:hint="default"/>
          <w:b/>
          <w:bCs/>
          <w:lang w:val="en-US" w:eastAsia="zh-CN"/>
        </w:rPr>
      </w:pPr>
      <w:bookmarkStart w:id="16" w:name="_Toc21514"/>
      <w:r>
        <w:rPr>
          <w:rFonts w:hint="default"/>
          <w:b/>
          <w:bCs/>
          <w:lang w:val="en-US" w:eastAsia="zh-CN"/>
        </w:rPr>
        <w:t>四、园区生态环境管理存在主要问题和难题</w:t>
      </w:r>
      <w:bookmarkEnd w:id="16"/>
    </w:p>
    <w:p w14:paraId="388407C1">
      <w:pPr>
        <w:bidi w:val="0"/>
        <w:outlineLvl w:val="1"/>
        <w:rPr>
          <w:rFonts w:hint="default"/>
          <w:b/>
          <w:bCs/>
          <w:lang w:val="en-US" w:eastAsia="zh-CN"/>
        </w:rPr>
      </w:pPr>
      <w:bookmarkStart w:id="17" w:name="_Toc3744"/>
      <w:r>
        <w:rPr>
          <w:rFonts w:hint="eastAsia"/>
          <w:b/>
          <w:bCs/>
          <w:lang w:val="en-US" w:eastAsia="zh-CN"/>
        </w:rPr>
        <w:t>（一）</w:t>
      </w:r>
      <w:r>
        <w:rPr>
          <w:rFonts w:hint="default"/>
          <w:b/>
          <w:bCs/>
          <w:lang w:val="en-US" w:eastAsia="zh-CN"/>
        </w:rPr>
        <w:t>企业环保管理不规范</w:t>
      </w:r>
      <w:bookmarkEnd w:id="17"/>
    </w:p>
    <w:p w14:paraId="6A61AFE9">
      <w:pPr>
        <w:bidi w:val="0"/>
        <w:rPr>
          <w:rFonts w:hint="default"/>
          <w:lang w:val="en-US" w:eastAsia="zh-CN"/>
        </w:rPr>
      </w:pPr>
      <w:r>
        <w:rPr>
          <w:rFonts w:hint="default"/>
          <w:lang w:val="en-US" w:eastAsia="zh-CN"/>
        </w:rPr>
        <w:t>部分小型企业环保资料缺失，保存不当，资料存储不规范，查找翻阅起来困难。该问题归根结底主要为企业环保人才短缺现象较为严重，普遍缺乏环保专业知识和操作需要的基本技能。导致企业环保管理不规范，出现危废暂存间设置不规范、相关台账设置不规范、废气、废水排放口、一般工业固废暂存场所环保标识牌设置不规范或未设置等环保问题。</w:t>
      </w:r>
    </w:p>
    <w:p w14:paraId="43ED5DA3">
      <w:pPr>
        <w:bidi w:val="0"/>
        <w:outlineLvl w:val="1"/>
        <w:rPr>
          <w:rFonts w:hint="default"/>
          <w:b/>
          <w:bCs/>
          <w:lang w:val="en-US" w:eastAsia="zh-CN"/>
        </w:rPr>
      </w:pPr>
      <w:bookmarkStart w:id="18" w:name="_Toc24432"/>
      <w:r>
        <w:rPr>
          <w:rFonts w:hint="eastAsia"/>
          <w:b/>
          <w:bCs/>
          <w:lang w:val="en-US" w:eastAsia="zh-CN"/>
        </w:rPr>
        <w:t>（二）</w:t>
      </w:r>
      <w:r>
        <w:rPr>
          <w:rFonts w:hint="default"/>
          <w:b/>
          <w:bCs/>
          <w:lang w:val="en-US" w:eastAsia="zh-CN"/>
        </w:rPr>
        <w:t>企业自行监测不到位</w:t>
      </w:r>
      <w:bookmarkEnd w:id="18"/>
    </w:p>
    <w:p w14:paraId="6A9A8C02">
      <w:pPr>
        <w:bidi w:val="0"/>
        <w:rPr>
          <w:rFonts w:hint="default"/>
          <w:lang w:val="en-US" w:eastAsia="zh-CN"/>
        </w:rPr>
      </w:pPr>
      <w:r>
        <w:rPr>
          <w:rFonts w:hint="default"/>
          <w:lang w:val="en-US" w:eastAsia="zh-CN"/>
        </w:rPr>
        <w:t>一是部分排污单位自行监测方案中的手工监测点位不全、监测项目不足、监测频次缺少，未根据行业排污许可证申请和核发技术规范、自行监测技术规范等制定企业自行监测方案；二是企业未按照制定的自行监测方案进行监测，出现某个污染物监测频次不满足排污许可自行监测管理要求；三是需进行废水在线监测企业因实际生产规模达不到预期，自动监测设备安装较滞后。</w:t>
      </w:r>
    </w:p>
    <w:p w14:paraId="7DFF656E">
      <w:pPr>
        <w:bidi w:val="0"/>
        <w:outlineLvl w:val="1"/>
        <w:rPr>
          <w:rFonts w:hint="default"/>
          <w:b/>
          <w:bCs/>
          <w:lang w:val="en-US" w:eastAsia="zh-CN"/>
        </w:rPr>
      </w:pPr>
      <w:bookmarkStart w:id="19" w:name="_Toc9087"/>
      <w:r>
        <w:rPr>
          <w:rFonts w:hint="eastAsia"/>
          <w:b/>
          <w:bCs/>
          <w:lang w:val="en-US" w:eastAsia="zh-CN"/>
        </w:rPr>
        <w:t>（三）</w:t>
      </w:r>
      <w:r>
        <w:rPr>
          <w:rFonts w:hint="default"/>
          <w:b/>
          <w:bCs/>
          <w:lang w:val="en-US" w:eastAsia="zh-CN"/>
        </w:rPr>
        <w:t>园区调区扩区工作滞后</w:t>
      </w:r>
      <w:bookmarkEnd w:id="19"/>
    </w:p>
    <w:p w14:paraId="5919DB85">
      <w:pPr>
        <w:bidi w:val="0"/>
        <w:rPr>
          <w:rFonts w:hint="default"/>
          <w:lang w:val="en-US" w:eastAsia="zh-CN"/>
        </w:rPr>
      </w:pPr>
      <w:r>
        <w:rPr>
          <w:rFonts w:hint="default"/>
          <w:lang w:val="en-US" w:eastAsia="zh-CN"/>
        </w:rPr>
        <w:t>因受现阶段规划中产业空间布局限制，园区组织开展的沅陵产业开发区调区扩区规划环境影响评价工作受阻，园区委托湖南省国际工程咨询中心有限公司编制的《沅陵产业开发区调区扩区规划环境影响评价报告书》已完成送审工作，尚未获得省发改委及省生态环境厅关于同意我园区调区扩区的批复。</w:t>
      </w:r>
    </w:p>
    <w:p w14:paraId="0E1C5624">
      <w:pPr>
        <w:bidi w:val="0"/>
        <w:ind w:left="0" w:leftChars="0" w:firstLine="0" w:firstLineChars="0"/>
        <w:outlineLvl w:val="0"/>
        <w:rPr>
          <w:rFonts w:hint="default"/>
          <w:b/>
          <w:bCs/>
          <w:lang w:val="en-US" w:eastAsia="zh-CN"/>
        </w:rPr>
      </w:pPr>
      <w:bookmarkStart w:id="20" w:name="_Toc19268"/>
      <w:r>
        <w:rPr>
          <w:rFonts w:hint="default"/>
          <w:b/>
          <w:bCs/>
          <w:lang w:val="en-US" w:eastAsia="zh-CN"/>
        </w:rPr>
        <w:t>五、下一步工作计划</w:t>
      </w:r>
      <w:bookmarkEnd w:id="20"/>
    </w:p>
    <w:p w14:paraId="0B45723B">
      <w:pPr>
        <w:bidi w:val="0"/>
        <w:rPr>
          <w:rFonts w:hint="default"/>
          <w:lang w:val="en-US" w:eastAsia="zh-CN"/>
        </w:rPr>
      </w:pPr>
      <w:r>
        <w:rPr>
          <w:rFonts w:hint="default"/>
          <w:lang w:val="en-US" w:eastAsia="zh-CN"/>
        </w:rPr>
        <w:t>针对目前园区存在的相关环境问题，以问题为导向，提出相关生态环境管理工作计划安排，进一步规范和加强园区生态环境管理工作，确保园区经济高质量发展。</w:t>
      </w:r>
    </w:p>
    <w:p w14:paraId="23FC8CCE">
      <w:pPr>
        <w:bidi w:val="0"/>
        <w:outlineLvl w:val="1"/>
        <w:rPr>
          <w:rFonts w:hint="default"/>
          <w:b/>
          <w:bCs/>
          <w:lang w:val="en-US" w:eastAsia="zh-CN"/>
        </w:rPr>
      </w:pPr>
      <w:bookmarkStart w:id="21" w:name="_Toc29132"/>
      <w:r>
        <w:rPr>
          <w:rFonts w:hint="eastAsia"/>
          <w:b/>
          <w:bCs/>
          <w:lang w:val="en-US" w:eastAsia="zh-CN"/>
        </w:rPr>
        <w:t>（一）</w:t>
      </w:r>
      <w:r>
        <w:rPr>
          <w:rFonts w:hint="default"/>
          <w:b/>
          <w:bCs/>
          <w:lang w:val="en-US" w:eastAsia="zh-CN"/>
        </w:rPr>
        <w:t>持续开展常态化环境隐患排查</w:t>
      </w:r>
      <w:bookmarkEnd w:id="21"/>
    </w:p>
    <w:p w14:paraId="1E1D7003">
      <w:pPr>
        <w:bidi w:val="0"/>
        <w:rPr>
          <w:rFonts w:hint="default"/>
          <w:lang w:val="en-US" w:eastAsia="zh-CN"/>
        </w:rPr>
      </w:pPr>
      <w:r>
        <w:rPr>
          <w:rFonts w:hint="default"/>
          <w:lang w:val="en-US" w:eastAsia="zh-CN"/>
        </w:rPr>
        <w:t>继续加大排查力度，严厉打击非法排放、倾倒、处置危险废物等涉嫌环境污染犯罪行为，以及未批先建、批建不符、未验先投和无证排污、偷排漏排、不正常使用污染防治设施、未自行监测等环境违法行为。落实企业环境主体责任、杜绝环境违法行为。</w:t>
      </w:r>
    </w:p>
    <w:p w14:paraId="35A414F3">
      <w:pPr>
        <w:bidi w:val="0"/>
        <w:outlineLvl w:val="1"/>
        <w:rPr>
          <w:rFonts w:hint="default"/>
          <w:b/>
          <w:bCs/>
          <w:lang w:val="en-US" w:eastAsia="zh-CN"/>
        </w:rPr>
      </w:pPr>
      <w:bookmarkStart w:id="22" w:name="_Toc30619"/>
      <w:r>
        <w:rPr>
          <w:rFonts w:hint="eastAsia"/>
          <w:b/>
          <w:bCs/>
          <w:lang w:val="en-US" w:eastAsia="zh-CN"/>
        </w:rPr>
        <w:t>（二）</w:t>
      </w:r>
      <w:r>
        <w:rPr>
          <w:rFonts w:hint="default"/>
          <w:b/>
          <w:bCs/>
          <w:lang w:val="en-US" w:eastAsia="zh-CN"/>
        </w:rPr>
        <w:t>巩固环境污染第三方治理</w:t>
      </w:r>
      <w:bookmarkEnd w:id="22"/>
    </w:p>
    <w:p w14:paraId="6E03FA2E">
      <w:pPr>
        <w:bidi w:val="0"/>
        <w:rPr>
          <w:rFonts w:hint="default"/>
          <w:lang w:val="en-US" w:eastAsia="zh-CN"/>
        </w:rPr>
      </w:pPr>
      <w:r>
        <w:rPr>
          <w:rFonts w:hint="default"/>
          <w:lang w:val="en-US" w:eastAsia="zh-CN"/>
        </w:rPr>
        <w:t>巩固年度环境污染第三方治理成果，加强下一年度第三方治理工作，切实提升园区环境污染治理水平和污染物排放管控水平，推动园区绿色高质量发展。</w:t>
      </w:r>
    </w:p>
    <w:p w14:paraId="260E2CC6">
      <w:pPr>
        <w:bidi w:val="0"/>
        <w:outlineLvl w:val="1"/>
        <w:rPr>
          <w:rFonts w:hint="default"/>
          <w:b/>
          <w:bCs/>
          <w:lang w:val="en-US" w:eastAsia="zh-CN"/>
        </w:rPr>
      </w:pPr>
      <w:bookmarkStart w:id="23" w:name="_Toc16677"/>
      <w:r>
        <w:rPr>
          <w:rFonts w:hint="eastAsia"/>
          <w:b/>
          <w:bCs/>
          <w:lang w:val="en-US" w:eastAsia="zh-CN"/>
        </w:rPr>
        <w:t>（三）</w:t>
      </w:r>
      <w:r>
        <w:rPr>
          <w:rFonts w:hint="default"/>
          <w:b/>
          <w:bCs/>
          <w:lang w:val="en-US" w:eastAsia="zh-CN"/>
        </w:rPr>
        <w:t>加强企业环保人员技术培训</w:t>
      </w:r>
      <w:bookmarkEnd w:id="23"/>
    </w:p>
    <w:p w14:paraId="64E0DF91">
      <w:pPr>
        <w:bidi w:val="0"/>
        <w:rPr>
          <w:rFonts w:hint="default"/>
          <w:lang w:val="en-US" w:eastAsia="zh-CN"/>
        </w:rPr>
      </w:pPr>
      <w:r>
        <w:rPr>
          <w:rFonts w:hint="default"/>
          <w:lang w:val="en-US" w:eastAsia="zh-CN"/>
        </w:rPr>
        <w:t>有针对性加强企业环保人员技术培训，加大环境保护宣传工作力度，增强企业环保专员环保意识，提高环保工作的自觉性和主动性，提高企业环保管理水平，加强环境检查监督工作真正落到实处。</w:t>
      </w:r>
    </w:p>
    <w:p w14:paraId="45A46CD6">
      <w:pPr>
        <w:bidi w:val="0"/>
        <w:outlineLvl w:val="1"/>
        <w:rPr>
          <w:rFonts w:hint="default"/>
          <w:b/>
          <w:bCs/>
          <w:lang w:val="en-US" w:eastAsia="zh-CN"/>
        </w:rPr>
      </w:pPr>
      <w:bookmarkStart w:id="24" w:name="_Toc15888"/>
      <w:r>
        <w:rPr>
          <w:rFonts w:hint="eastAsia"/>
          <w:b/>
          <w:bCs/>
          <w:lang w:val="en-US" w:eastAsia="zh-CN"/>
        </w:rPr>
        <w:t>（四）</w:t>
      </w:r>
      <w:r>
        <w:rPr>
          <w:rFonts w:hint="default"/>
          <w:b/>
          <w:bCs/>
          <w:lang w:val="en-US" w:eastAsia="zh-CN"/>
        </w:rPr>
        <w:t>推进园区调区扩区工作</w:t>
      </w:r>
      <w:bookmarkEnd w:id="24"/>
    </w:p>
    <w:p w14:paraId="149DC3C9">
      <w:pPr>
        <w:bidi w:val="0"/>
        <w:rPr>
          <w:rFonts w:hint="default"/>
          <w:lang w:val="en-US" w:eastAsia="zh-CN"/>
        </w:rPr>
      </w:pPr>
      <w:r>
        <w:rPr>
          <w:rFonts w:hint="default"/>
          <w:lang w:val="en-US" w:eastAsia="zh-CN"/>
        </w:rPr>
        <w:t>加强各相关部门沟通，全面协调各部门与上级部门工作上的对接，完成园区工业用地规划范围内用地调整、置换与搬迁工作，推进园区调区扩区工作。</w:t>
      </w:r>
    </w:p>
    <w:p w14:paraId="3937ED37">
      <w:pPr>
        <w:bidi w:val="0"/>
        <w:rPr>
          <w:rFonts w:hint="default"/>
          <w:lang w:val="en-US" w:eastAsia="zh-CN"/>
        </w:rPr>
      </w:pPr>
      <w:r>
        <w:rPr>
          <w:rFonts w:hint="default"/>
          <w:lang w:val="en-US" w:eastAsia="zh-CN"/>
        </w:rPr>
        <w:t>附表：园区年度报告表格</w:t>
      </w:r>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B3D7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7BE77">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C7BE77">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91CEB"/>
    <w:multiLevelType w:val="multilevel"/>
    <w:tmpl w:val="0DC91CEB"/>
    <w:lvl w:ilvl="0" w:tentative="0">
      <w:start w:val="1"/>
      <w:numFmt w:val="chineseCountingThousand"/>
      <w:lvlText w:val="第%1章  "/>
      <w:lvlJc w:val="left"/>
      <w:pPr>
        <w:ind w:left="2269" w:firstLine="0"/>
      </w:pPr>
      <w:rPr>
        <w:rFonts w:hint="default" w:ascii="Times New Roman" w:hAnsi="Times New Roman" w:eastAsia="宋体"/>
        <w:b/>
        <w:i w:val="0"/>
        <w:sz w:val="36"/>
        <w:szCs w:val="36"/>
      </w:rPr>
    </w:lvl>
    <w:lvl w:ilvl="1" w:tentative="0">
      <w:start w:val="1"/>
      <w:numFmt w:val="decimal"/>
      <w:isLgl/>
      <w:suff w:val="space"/>
      <w:lvlText w:val="%1.%2 "/>
      <w:lvlJc w:val="left"/>
      <w:pPr>
        <w:ind w:left="2127" w:firstLine="0"/>
      </w:pPr>
      <w:rPr>
        <w:rFonts w:hint="default" w:ascii="Times New Roman" w:hAnsi="Times New Roman" w:eastAsia="黑体"/>
        <w:b/>
        <w:i w:val="0"/>
        <w:sz w:val="32"/>
        <w:szCs w:val="32"/>
      </w:rPr>
    </w:lvl>
    <w:lvl w:ilvl="2" w:tentative="0">
      <w:start w:val="1"/>
      <w:numFmt w:val="decimal"/>
      <w:isLgl/>
      <w:suff w:val="space"/>
      <w:lvlText w:val="%1.%2.%3 "/>
      <w:lvlJc w:val="left"/>
      <w:pPr>
        <w:ind w:left="0" w:firstLine="0"/>
      </w:pPr>
      <w:rPr>
        <w:rFonts w:hint="default" w:ascii="Times New Roman" w:hAnsi="Times New Roman" w:eastAsia="黑体"/>
        <w:b/>
        <w:i w:val="0"/>
        <w:color w:val="auto"/>
        <w:sz w:val="30"/>
      </w:rPr>
    </w:lvl>
    <w:lvl w:ilvl="3" w:tentative="0">
      <w:start w:val="1"/>
      <w:numFmt w:val="decimal"/>
      <w:isLgl/>
      <w:suff w:val="space"/>
      <w:lvlText w:val="%1.%2.%3.%4 "/>
      <w:lvlJc w:val="left"/>
      <w:pPr>
        <w:ind w:left="-1843" w:firstLine="0"/>
      </w:pPr>
      <w:rPr>
        <w:rFonts w:hint="default" w:ascii="Times New Roman" w:hAnsi="Times New Roman" w:eastAsia="黑体"/>
        <w:b/>
        <w:i w:val="0"/>
        <w:sz w:val="24"/>
      </w:rPr>
    </w:lvl>
    <w:lvl w:ilvl="4" w:tentative="0">
      <w:start w:val="1"/>
      <w:numFmt w:val="decimal"/>
      <w:lvlRestart w:val="2"/>
      <w:pStyle w:val="17"/>
      <w:isLgl/>
      <w:suff w:val="space"/>
      <w:lvlText w:val="表 %1.%2-%5  "/>
      <w:lvlJc w:val="left"/>
      <w:pPr>
        <w:ind w:left="-1843" w:firstLine="0"/>
      </w:pPr>
      <w:rPr>
        <w:rFonts w:hint="default" w:ascii="Times New Roman" w:hAnsi="Times New Roman" w:eastAsia="宋体" w:cs="Times New Roman"/>
        <w:b/>
        <w:bCs w:val="0"/>
        <w:i w:val="0"/>
        <w:iCs w:val="0"/>
        <w:caps w:val="0"/>
        <w:strike w:val="0"/>
        <w:dstrike w:val="0"/>
        <w:vanish w:val="0"/>
        <w:spacing w:val="0"/>
        <w:position w:val="0"/>
        <w:sz w:val="21"/>
        <w:u w:val="none"/>
        <w:vertAlign w:val="baseline"/>
      </w:rPr>
    </w:lvl>
    <w:lvl w:ilvl="5" w:tentative="0">
      <w:start w:val="1"/>
      <w:numFmt w:val="decimal"/>
      <w:lvlRestart w:val="2"/>
      <w:isLgl/>
      <w:suff w:val="space"/>
      <w:lvlText w:val="图 %1.%2-%6  "/>
      <w:lvlJc w:val="left"/>
      <w:pPr>
        <w:ind w:left="-1843" w:firstLine="0"/>
      </w:pPr>
      <w:rPr>
        <w:rFonts w:hint="default" w:ascii="Times New Roman" w:hAnsi="Times New Roman" w:eastAsia="宋体"/>
        <w:b/>
        <w:i w:val="0"/>
        <w:sz w:val="21"/>
      </w:rPr>
    </w:lvl>
    <w:lvl w:ilvl="6" w:tentative="0">
      <w:start w:val="1"/>
      <w:numFmt w:val="decimal"/>
      <w:lvlText w:val="%1.%2.%3.%4.%5.%6.%7"/>
      <w:lvlJc w:val="left"/>
      <w:pPr>
        <w:ind w:left="-547" w:hanging="1296"/>
      </w:pPr>
      <w:rPr>
        <w:rFonts w:hint="eastAsia"/>
      </w:rPr>
    </w:lvl>
    <w:lvl w:ilvl="7" w:tentative="0">
      <w:start w:val="1"/>
      <w:numFmt w:val="decimal"/>
      <w:lvlText w:val="%1.%2.%3.%4.%5.%6.%7.%8"/>
      <w:lvlJc w:val="left"/>
      <w:pPr>
        <w:ind w:left="-403" w:hanging="1440"/>
      </w:pPr>
      <w:rPr>
        <w:rFonts w:hint="eastAsia"/>
      </w:rPr>
    </w:lvl>
    <w:lvl w:ilvl="8" w:tentative="0">
      <w:start w:val="1"/>
      <w:numFmt w:val="decimal"/>
      <w:lvlText w:val="%1.%2.%3.%4.%5.%6.%7.%8.%9"/>
      <w:lvlJc w:val="left"/>
      <w:pPr>
        <w:ind w:left="-259"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9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D21C5"/>
    <w:rsid w:val="0191013B"/>
    <w:rsid w:val="054D21C5"/>
    <w:rsid w:val="07E34279"/>
    <w:rsid w:val="1D153800"/>
    <w:rsid w:val="21ED1832"/>
    <w:rsid w:val="247D0516"/>
    <w:rsid w:val="27E52BFD"/>
    <w:rsid w:val="2A986C55"/>
    <w:rsid w:val="2CE32E3B"/>
    <w:rsid w:val="35C02138"/>
    <w:rsid w:val="3C821ACA"/>
    <w:rsid w:val="3DD95DDC"/>
    <w:rsid w:val="403501D5"/>
    <w:rsid w:val="42154762"/>
    <w:rsid w:val="47555600"/>
    <w:rsid w:val="4EA55F64"/>
    <w:rsid w:val="5551200A"/>
    <w:rsid w:val="59AB03BC"/>
    <w:rsid w:val="5A462C6E"/>
    <w:rsid w:val="76925638"/>
    <w:rsid w:val="7874624B"/>
    <w:rsid w:val="787D038F"/>
    <w:rsid w:val="7BB96489"/>
    <w:rsid w:val="7FD8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heme="minorBidi"/>
      <w:kern w:val="2"/>
      <w:sz w:val="28"/>
      <w:szCs w:val="24"/>
      <w:lang w:val="en-US" w:eastAsia="zh-CN" w:bidi="ar-SA"/>
    </w:rPr>
  </w:style>
  <w:style w:type="paragraph" w:styleId="4">
    <w:name w:val="heading 5"/>
    <w:basedOn w:val="1"/>
    <w:next w:val="1"/>
    <w:unhideWhenUsed/>
    <w:qFormat/>
    <w:uiPriority w:val="0"/>
    <w:pPr>
      <w:keepNext/>
      <w:keepLines/>
      <w:spacing w:before="280" w:after="290" w:line="376" w:lineRule="auto"/>
      <w:ind w:firstLine="0" w:firstLineChars="0"/>
      <w:outlineLvl w:val="4"/>
    </w:pPr>
    <w:rPr>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autoSpaceDE w:val="0"/>
      <w:autoSpaceDN w:val="0"/>
      <w:adjustRightInd w:val="0"/>
      <w:jc w:val="left"/>
    </w:pPr>
    <w:rPr>
      <w:rFonts w:eastAsia="宋体"/>
      <w:color w:val="000000"/>
      <w:kern w:val="0"/>
      <w:sz w:val="24"/>
      <w:szCs w:val="24"/>
    </w:rPr>
  </w:style>
  <w:style w:type="paragraph" w:customStyle="1" w:styleId="3">
    <w:name w:val="纯文本1"/>
    <w:basedOn w:val="1"/>
    <w:autoRedefine/>
    <w:qFormat/>
    <w:uiPriority w:val="0"/>
    <w:rPr>
      <w:rFonts w:hint="eastAsia" w:ascii="宋体" w:hAnsi="Courier New"/>
      <w:szCs w:val="24"/>
    </w:rPr>
  </w:style>
  <w:style w:type="paragraph" w:styleId="5">
    <w:name w:val="Body Text"/>
    <w:basedOn w:val="1"/>
    <w:next w:val="1"/>
    <w:unhideWhenUsed/>
    <w:qFormat/>
    <w:uiPriority w:val="1"/>
    <w:rPr>
      <w:rFonts w:hint="eastAsia"/>
      <w:sz w:val="32"/>
      <w:szCs w:val="32"/>
    </w:rPr>
  </w:style>
  <w:style w:type="paragraph" w:styleId="6">
    <w:name w:val="Body Text Indent"/>
    <w:basedOn w:val="1"/>
    <w:unhideWhenUsed/>
    <w:qFormat/>
    <w:uiPriority w:val="99"/>
    <w:pPr>
      <w:spacing w:after="120"/>
      <w:ind w:left="420" w:leftChars="200"/>
    </w:pPr>
    <w:rPr>
      <w:rFonts w:hint="eastAsia"/>
      <w:sz w:val="22"/>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4"/>
    <w:next w:val="1"/>
    <w:qFormat/>
    <w:uiPriority w:val="10"/>
    <w:pPr>
      <w:spacing w:before="240" w:after="60"/>
      <w:jc w:val="center"/>
      <w:outlineLvl w:val="0"/>
    </w:pPr>
    <w:rPr>
      <w:rFonts w:eastAsia="宋体" w:asciiTheme="majorHAnsi" w:hAnsiTheme="majorHAnsi" w:cstheme="majorBidi"/>
      <w:sz w:val="32"/>
      <w:szCs w:val="32"/>
    </w:rPr>
  </w:style>
  <w:style w:type="paragraph" w:styleId="10">
    <w:name w:val="Body Text First Indent"/>
    <w:basedOn w:val="5"/>
    <w:next w:val="1"/>
    <w:unhideWhenUsed/>
    <w:qFormat/>
    <w:uiPriority w:val="99"/>
    <w:rPr>
      <w:rFonts w:hint="default" w:ascii="方正仿宋_GBK" w:hAnsi="方正仿宋_GBK" w:eastAsia="方正仿宋_GBK"/>
      <w:sz w:val="32"/>
      <w:szCs w:val="32"/>
    </w:rPr>
  </w:style>
  <w:style w:type="paragraph" w:styleId="11">
    <w:name w:val="Body Text First Indent 2"/>
    <w:basedOn w:val="6"/>
    <w:unhideWhenUsed/>
    <w:qFormat/>
    <w:uiPriority w:val="0"/>
    <w:pPr>
      <w:ind w:left="0" w:leftChars="0"/>
    </w:pPr>
    <w:rPr>
      <w:rFonts w:hint="eastAsia" w:ascii="Calibri" w:hAnsi="Calibri" w:eastAsia="宋体" w:cs="Times New Roman"/>
      <w:sz w:val="32"/>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表格文字-五号"/>
    <w:basedOn w:val="1"/>
    <w:next w:val="1"/>
    <w:autoRedefine/>
    <w:qFormat/>
    <w:uiPriority w:val="0"/>
    <w:pPr>
      <w:widowControl/>
      <w:tabs>
        <w:tab w:val="left" w:pos="2340"/>
      </w:tabs>
      <w:adjustRightInd w:val="0"/>
      <w:snapToGrid w:val="0"/>
      <w:spacing w:line="240" w:lineRule="auto"/>
      <w:ind w:firstLine="0" w:firstLineChars="0"/>
      <w:jc w:val="center"/>
    </w:pPr>
    <w:rPr>
      <w:rFonts w:eastAsia="华文仿宋"/>
      <w:color w:val="000000"/>
      <w:sz w:val="21"/>
    </w:rPr>
  </w:style>
  <w:style w:type="paragraph" w:customStyle="1" w:styleId="16">
    <w:name w:val=" Char"/>
    <w:basedOn w:val="1"/>
    <w:autoRedefine/>
    <w:qFormat/>
    <w:uiPriority w:val="0"/>
    <w:pPr>
      <w:ind w:firstLine="200" w:firstLineChars="200"/>
      <w:jc w:val="left"/>
    </w:pPr>
    <w:rPr>
      <w:rFonts w:ascii="Tahoma" w:hAnsi="Tahoma"/>
      <w:kern w:val="0"/>
      <w:sz w:val="24"/>
      <w:szCs w:val="20"/>
    </w:rPr>
  </w:style>
  <w:style w:type="paragraph" w:customStyle="1" w:styleId="17">
    <w:name w:val="S表标题"/>
    <w:next w:val="18"/>
    <w:autoRedefine/>
    <w:qFormat/>
    <w:uiPriority w:val="0"/>
    <w:pPr>
      <w:keepNext/>
      <w:keepLines/>
      <w:widowControl w:val="0"/>
      <w:numPr>
        <w:ilvl w:val="4"/>
        <w:numId w:val="1"/>
      </w:numPr>
      <w:wordWrap w:val="0"/>
      <w:spacing w:before="50" w:beforeLines="50" w:after="50" w:afterLines="50"/>
      <w:ind w:left="0"/>
      <w:jc w:val="center"/>
    </w:pPr>
    <w:rPr>
      <w:rFonts w:ascii="Times New Roman" w:hAnsi="Times New Roman" w:eastAsia="宋体" w:cs="Times New Roman"/>
      <w:b/>
      <w:kern w:val="2"/>
      <w:sz w:val="21"/>
      <w:szCs w:val="32"/>
      <w:lang w:val="en-US" w:eastAsia="zh-CN" w:bidi="ar-SA"/>
    </w:rPr>
  </w:style>
  <w:style w:type="paragraph" w:customStyle="1" w:styleId="18">
    <w:name w:val="S正文"/>
    <w:basedOn w:val="1"/>
    <w:autoRedefine/>
    <w:qFormat/>
    <w:uiPriority w:val="0"/>
    <w:pPr>
      <w:wordWrap w:val="0"/>
      <w:spacing w:line="360" w:lineRule="auto"/>
      <w:ind w:firstLine="480" w:firstLineChars="200"/>
    </w:pPr>
    <w:rPr>
      <w:rFonts w:ascii="Times New Roman" w:hAnsi="Times New Roman" w:eastAsia="宋体" w:cs="Times New Roman"/>
      <w:sz w:val="24"/>
    </w:rPr>
  </w:style>
  <w:style w:type="paragraph" w:customStyle="1" w:styleId="19">
    <w:name w:val="S表正文"/>
    <w:basedOn w:val="9"/>
    <w:autoRedefine/>
    <w:qFormat/>
    <w:uiPriority w:val="0"/>
    <w:pPr>
      <w:wordWrap w:val="0"/>
      <w:spacing w:before="0" w:after="0"/>
      <w:outlineLvl w:val="9"/>
    </w:pPr>
    <w:rPr>
      <w:rFonts w:ascii="Times New Roman" w:hAnsi="Times New Roman" w:cs="Times New Roman"/>
      <w:b w:val="0"/>
      <w:bCs w:val="0"/>
      <w:sz w:val="21"/>
    </w:rPr>
  </w:style>
  <w:style w:type="paragraph" w:customStyle="1" w:styleId="20">
    <w:name w:val="7表格文字"/>
    <w:basedOn w:val="1"/>
    <w:autoRedefine/>
    <w:qFormat/>
    <w:uiPriority w:val="0"/>
    <w:pPr>
      <w:jc w:val="center"/>
    </w:pPr>
    <w:rPr>
      <w:sz w:val="21"/>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1819</Words>
  <Characters>1990</Characters>
  <Lines>0</Lines>
  <Paragraphs>0</Paragraphs>
  <TotalTime>12</TotalTime>
  <ScaleCrop>false</ScaleCrop>
  <LinksUpToDate>false</LinksUpToDate>
  <CharactersWithSpaces>2067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2025-02-21T02:57:00Z</dcterms:created>
  <dc:creator>Yu</dc:creator>
  <cp:lastModifiedBy>Yu</cp:lastModifiedBy>
  <dcterms:modified xsi:type="dcterms:W3CDTF">2025-02-26T03:04:40Z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5A8927D7C3594979B4C8A7D5510F0B10_11</vt:lpwstr>
  </property>
  <property fmtid="{D5CDD505-2E9C-101B-9397-08002B2CF9AE}" pid="4" name="KSOTemplateDocerSaveRecord">
    <vt:lpwstr>eyJoZGlkIjoiZTg2ZGYwZGViNzU4ZTMyNzNhZWM3MDdjODk4NzY5ZDkiLCJ1c2VySWQiOiI1MTEyNDk3NzUifQ==</vt:lpwstr>
  </property>
</Properties>
</file>