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Times New Roman" w:hAnsi="Times New Roman" w:cs="Times New Roman"/>
          <w:b/>
          <w:bCs/>
          <w:color w:val="auto"/>
          <w:kern w:val="0"/>
          <w:sz w:val="44"/>
          <w:szCs w:val="44"/>
        </w:rPr>
      </w:pPr>
      <w:bookmarkStart w:id="0" w:name="_Hlk8504611"/>
      <w:r>
        <w:rPr>
          <w:rFonts w:hint="eastAsia" w:ascii="Times New Roman" w:hAnsi="Times New Roman" w:cs="Times New Roman"/>
          <w:b/>
          <w:bCs/>
          <w:color w:val="auto"/>
          <w:kern w:val="0"/>
          <w:sz w:val="44"/>
          <w:szCs w:val="44"/>
          <w:lang w:val="en-US" w:eastAsia="zh-CN"/>
        </w:rPr>
        <w:t>沅陵产业开发区</w:t>
      </w:r>
    </w:p>
    <w:p>
      <w:pPr>
        <w:spacing w:line="720" w:lineRule="auto"/>
        <w:jc w:val="center"/>
        <w:rPr>
          <w:rFonts w:ascii="Times New Roman" w:hAnsi="Times New Roman" w:cs="Times New Roman"/>
          <w:b/>
          <w:bCs/>
          <w:color w:val="auto"/>
          <w:kern w:val="0"/>
          <w:sz w:val="44"/>
          <w:szCs w:val="44"/>
        </w:rPr>
      </w:pPr>
      <w:r>
        <w:rPr>
          <w:rFonts w:ascii="Times New Roman" w:hAnsi="Times New Roman" w:cs="Times New Roman"/>
          <w:b/>
          <w:bCs/>
          <w:color w:val="auto"/>
          <w:kern w:val="0"/>
          <w:sz w:val="44"/>
          <w:szCs w:val="44"/>
        </w:rPr>
        <w:t>生态环境管理202</w:t>
      </w:r>
      <w:r>
        <w:rPr>
          <w:rFonts w:hint="eastAsia" w:ascii="Times New Roman" w:hAnsi="Times New Roman" w:cs="Times New Roman"/>
          <w:b/>
          <w:bCs/>
          <w:color w:val="auto"/>
          <w:kern w:val="0"/>
          <w:sz w:val="44"/>
          <w:szCs w:val="44"/>
          <w:lang w:val="en-US" w:eastAsia="zh-CN"/>
        </w:rPr>
        <w:t>1</w:t>
      </w:r>
      <w:r>
        <w:rPr>
          <w:rFonts w:ascii="Times New Roman" w:hAnsi="Times New Roman" w:cs="Times New Roman"/>
          <w:b/>
          <w:bCs/>
          <w:color w:val="auto"/>
          <w:kern w:val="0"/>
          <w:sz w:val="44"/>
          <w:szCs w:val="44"/>
        </w:rPr>
        <w:t>年度</w:t>
      </w:r>
    </w:p>
    <w:p>
      <w:pPr>
        <w:spacing w:line="720" w:lineRule="auto"/>
        <w:jc w:val="center"/>
        <w:rPr>
          <w:rFonts w:ascii="Times New Roman" w:hAnsi="Times New Roman" w:cs="Times New Roman"/>
          <w:b/>
          <w:bCs/>
          <w:color w:val="auto"/>
          <w:kern w:val="0"/>
          <w:sz w:val="48"/>
          <w:szCs w:val="48"/>
        </w:rPr>
      </w:pPr>
    </w:p>
    <w:p>
      <w:pPr>
        <w:spacing w:line="720" w:lineRule="auto"/>
        <w:jc w:val="center"/>
        <w:rPr>
          <w:rFonts w:ascii="Times New Roman" w:hAnsi="Times New Roman" w:cs="Times New Roman"/>
          <w:b/>
          <w:bCs/>
          <w:color w:val="auto"/>
          <w:kern w:val="0"/>
          <w:sz w:val="48"/>
          <w:szCs w:val="48"/>
        </w:rPr>
      </w:pPr>
    </w:p>
    <w:p>
      <w:pPr>
        <w:spacing w:line="720" w:lineRule="auto"/>
        <w:jc w:val="center"/>
        <w:rPr>
          <w:rFonts w:ascii="Times New Roman" w:hAnsi="Times New Roman" w:cs="Times New Roman"/>
          <w:b/>
          <w:bCs/>
          <w:color w:val="auto"/>
          <w:kern w:val="0"/>
          <w:sz w:val="52"/>
          <w:szCs w:val="52"/>
        </w:rPr>
      </w:pPr>
      <w:r>
        <w:rPr>
          <w:rFonts w:ascii="Times New Roman" w:hAnsi="Times New Roman" w:cs="Times New Roman"/>
          <w:b/>
          <w:bCs/>
          <w:color w:val="auto"/>
          <w:kern w:val="0"/>
          <w:sz w:val="52"/>
          <w:szCs w:val="52"/>
        </w:rPr>
        <w:t>自</w:t>
      </w:r>
    </w:p>
    <w:p>
      <w:pPr>
        <w:spacing w:line="720" w:lineRule="auto"/>
        <w:jc w:val="center"/>
        <w:rPr>
          <w:rFonts w:ascii="Times New Roman" w:hAnsi="Times New Roman" w:cs="Times New Roman"/>
          <w:b/>
          <w:bCs/>
          <w:color w:val="auto"/>
          <w:kern w:val="0"/>
          <w:sz w:val="52"/>
          <w:szCs w:val="52"/>
        </w:rPr>
      </w:pPr>
      <w:r>
        <w:rPr>
          <w:rFonts w:ascii="Times New Roman" w:hAnsi="Times New Roman" w:cs="Times New Roman"/>
          <w:b/>
          <w:bCs/>
          <w:color w:val="auto"/>
          <w:kern w:val="0"/>
          <w:sz w:val="52"/>
          <w:szCs w:val="52"/>
        </w:rPr>
        <w:t>评</w:t>
      </w:r>
    </w:p>
    <w:p>
      <w:pPr>
        <w:spacing w:line="720" w:lineRule="auto"/>
        <w:jc w:val="center"/>
        <w:rPr>
          <w:rFonts w:ascii="Times New Roman" w:hAnsi="Times New Roman" w:cs="Times New Roman"/>
          <w:b/>
          <w:bCs/>
          <w:color w:val="auto"/>
          <w:kern w:val="0"/>
          <w:sz w:val="52"/>
          <w:szCs w:val="52"/>
        </w:rPr>
      </w:pPr>
      <w:r>
        <w:rPr>
          <w:rFonts w:ascii="Times New Roman" w:hAnsi="Times New Roman" w:cs="Times New Roman"/>
          <w:b/>
          <w:bCs/>
          <w:color w:val="auto"/>
          <w:kern w:val="0"/>
          <w:sz w:val="52"/>
          <w:szCs w:val="52"/>
        </w:rPr>
        <w:t>估</w:t>
      </w:r>
    </w:p>
    <w:p>
      <w:pPr>
        <w:spacing w:line="720" w:lineRule="auto"/>
        <w:jc w:val="center"/>
        <w:rPr>
          <w:rFonts w:ascii="Times New Roman" w:hAnsi="Times New Roman" w:cs="Times New Roman"/>
          <w:b/>
          <w:bCs/>
          <w:color w:val="auto"/>
          <w:kern w:val="0"/>
          <w:sz w:val="52"/>
          <w:szCs w:val="52"/>
        </w:rPr>
      </w:pPr>
      <w:r>
        <w:rPr>
          <w:rFonts w:ascii="Times New Roman" w:hAnsi="Times New Roman" w:cs="Times New Roman"/>
          <w:b/>
          <w:bCs/>
          <w:color w:val="auto"/>
          <w:kern w:val="0"/>
          <w:sz w:val="52"/>
          <w:szCs w:val="52"/>
        </w:rPr>
        <w:t>报</w:t>
      </w:r>
    </w:p>
    <w:p>
      <w:pPr>
        <w:spacing w:line="720" w:lineRule="auto"/>
        <w:jc w:val="center"/>
        <w:rPr>
          <w:rFonts w:ascii="Times New Roman" w:hAnsi="Times New Roman" w:cs="Times New Roman"/>
          <w:b/>
          <w:bCs/>
          <w:color w:val="auto"/>
          <w:kern w:val="0"/>
          <w:sz w:val="52"/>
          <w:szCs w:val="52"/>
        </w:rPr>
      </w:pPr>
      <w:r>
        <w:rPr>
          <w:rFonts w:ascii="Times New Roman" w:hAnsi="Times New Roman" w:cs="Times New Roman"/>
          <w:b/>
          <w:bCs/>
          <w:color w:val="auto"/>
          <w:kern w:val="0"/>
          <w:sz w:val="52"/>
          <w:szCs w:val="52"/>
        </w:rPr>
        <w:t>告</w:t>
      </w:r>
    </w:p>
    <w:p>
      <w:pPr>
        <w:ind w:firstLine="723"/>
        <w:jc w:val="center"/>
        <w:rPr>
          <w:rFonts w:ascii="Times New Roman" w:hAnsi="Times New Roman" w:cs="Times New Roman"/>
          <w:b/>
          <w:bCs/>
          <w:color w:val="auto"/>
          <w:kern w:val="0"/>
          <w:sz w:val="36"/>
          <w:szCs w:val="36"/>
        </w:rPr>
      </w:pPr>
    </w:p>
    <w:p>
      <w:pPr>
        <w:ind w:firstLine="723"/>
        <w:jc w:val="center"/>
        <w:rPr>
          <w:rFonts w:ascii="Times New Roman" w:hAnsi="Times New Roman" w:cs="Times New Roman"/>
          <w:b/>
          <w:bCs/>
          <w:color w:val="auto"/>
          <w:kern w:val="0"/>
          <w:sz w:val="36"/>
          <w:szCs w:val="36"/>
        </w:rPr>
      </w:pPr>
    </w:p>
    <w:p>
      <w:pPr>
        <w:jc w:val="center"/>
        <w:rPr>
          <w:rFonts w:ascii="Times New Roman" w:hAnsi="Times New Roman" w:cs="Times New Roman"/>
          <w:color w:val="auto"/>
        </w:rPr>
      </w:pPr>
    </w:p>
    <w:p>
      <w:pPr>
        <w:jc w:val="center"/>
        <w:rPr>
          <w:rFonts w:ascii="Times New Roman" w:hAnsi="Times New Roman" w:cs="Times New Roman"/>
          <w:color w:val="auto"/>
        </w:rPr>
      </w:pPr>
    </w:p>
    <w:p>
      <w:pPr>
        <w:spacing w:line="600" w:lineRule="auto"/>
        <w:jc w:val="center"/>
        <w:rPr>
          <w:rFonts w:ascii="Times New Roman" w:hAnsi="Times New Roman" w:cs="Times New Roman"/>
          <w:b/>
          <w:bCs/>
          <w:color w:val="auto"/>
          <w:kern w:val="0"/>
          <w:sz w:val="36"/>
          <w:szCs w:val="36"/>
        </w:rPr>
      </w:pPr>
      <w:r>
        <w:rPr>
          <w:rFonts w:hint="eastAsia" w:ascii="Times New Roman" w:hAnsi="Times New Roman" w:cs="Times New Roman"/>
          <w:b/>
          <w:bCs/>
          <w:color w:val="auto"/>
          <w:kern w:val="0"/>
          <w:sz w:val="36"/>
          <w:szCs w:val="36"/>
          <w:lang w:val="en-US" w:eastAsia="zh-CN"/>
        </w:rPr>
        <w:t>沅陵产业开发</w:t>
      </w:r>
      <w:r>
        <w:rPr>
          <w:rFonts w:ascii="Times New Roman" w:hAnsi="Times New Roman" w:cs="Times New Roman"/>
          <w:b/>
          <w:bCs/>
          <w:color w:val="auto"/>
          <w:kern w:val="0"/>
          <w:sz w:val="36"/>
          <w:szCs w:val="36"/>
        </w:rPr>
        <w:t>区管理委员会</w:t>
      </w:r>
    </w:p>
    <w:p>
      <w:pPr>
        <w:spacing w:line="600" w:lineRule="auto"/>
        <w:jc w:val="center"/>
        <w:rPr>
          <w:rFonts w:ascii="Times New Roman" w:hAnsi="Times New Roman" w:cs="Times New Roman"/>
          <w:b/>
          <w:bCs/>
          <w:color w:val="auto"/>
          <w:kern w:val="0"/>
          <w:sz w:val="36"/>
          <w:szCs w:val="36"/>
        </w:rPr>
      </w:pPr>
      <w:r>
        <w:rPr>
          <w:rFonts w:ascii="Times New Roman" w:hAnsi="Times New Roman" w:cs="Times New Roman"/>
          <w:b/>
          <w:bCs/>
          <w:color w:val="auto"/>
          <w:kern w:val="0"/>
          <w:sz w:val="36"/>
          <w:szCs w:val="36"/>
        </w:rPr>
        <w:t>202</w:t>
      </w:r>
      <w:r>
        <w:rPr>
          <w:rFonts w:hint="eastAsia" w:ascii="Times New Roman" w:hAnsi="Times New Roman" w:cs="Times New Roman"/>
          <w:b/>
          <w:bCs/>
          <w:color w:val="auto"/>
          <w:kern w:val="0"/>
          <w:sz w:val="36"/>
          <w:szCs w:val="36"/>
          <w:lang w:val="en-US" w:eastAsia="zh-CN"/>
        </w:rPr>
        <w:t>2</w:t>
      </w:r>
      <w:r>
        <w:rPr>
          <w:rFonts w:ascii="Times New Roman" w:hAnsi="Times New Roman" w:cs="Times New Roman"/>
          <w:b/>
          <w:bCs/>
          <w:color w:val="auto"/>
          <w:kern w:val="0"/>
          <w:sz w:val="36"/>
          <w:szCs w:val="36"/>
        </w:rPr>
        <w:t>年</w:t>
      </w:r>
      <w:r>
        <w:rPr>
          <w:rFonts w:hint="eastAsia" w:ascii="Times New Roman" w:hAnsi="Times New Roman" w:cs="Times New Roman"/>
          <w:b/>
          <w:bCs/>
          <w:color w:val="auto"/>
          <w:kern w:val="0"/>
          <w:sz w:val="36"/>
          <w:szCs w:val="36"/>
          <w:lang w:val="en-US" w:eastAsia="zh-CN"/>
        </w:rPr>
        <w:t>2</w:t>
      </w:r>
      <w:r>
        <w:rPr>
          <w:rFonts w:ascii="Times New Roman" w:hAnsi="Times New Roman" w:cs="Times New Roman"/>
          <w:b/>
          <w:bCs/>
          <w:color w:val="auto"/>
          <w:kern w:val="0"/>
          <w:sz w:val="36"/>
          <w:szCs w:val="36"/>
        </w:rPr>
        <w:t>月</w:t>
      </w:r>
      <w:r>
        <w:rPr>
          <w:rFonts w:hint="eastAsia" w:ascii="Times New Roman" w:hAnsi="Times New Roman" w:cs="Times New Roman"/>
          <w:b/>
          <w:bCs/>
          <w:color w:val="auto"/>
          <w:kern w:val="0"/>
          <w:sz w:val="36"/>
          <w:szCs w:val="36"/>
          <w:lang w:val="en-US" w:eastAsia="zh-CN"/>
        </w:rPr>
        <w:t>15</w:t>
      </w:r>
      <w:r>
        <w:rPr>
          <w:rFonts w:ascii="Times New Roman" w:hAnsi="Times New Roman" w:cs="Times New Roman"/>
          <w:b/>
          <w:bCs/>
          <w:color w:val="auto"/>
          <w:kern w:val="0"/>
          <w:sz w:val="36"/>
          <w:szCs w:val="36"/>
        </w:rPr>
        <w:t>日</w:t>
      </w:r>
    </w:p>
    <w:p>
      <w:pPr>
        <w:spacing w:line="360" w:lineRule="auto"/>
        <w:jc w:val="center"/>
        <w:rPr>
          <w:rFonts w:ascii="Times New Roman" w:hAnsi="Times New Roman" w:cs="Times New Roman" w:eastAsiaTheme="minorEastAsia"/>
          <w:b/>
          <w:color w:val="auto"/>
          <w:spacing w:val="28"/>
          <w:sz w:val="44"/>
          <w:szCs w:val="44"/>
        </w:rPr>
      </w:pPr>
    </w:p>
    <w:p>
      <w:pPr>
        <w:pStyle w:val="13"/>
        <w:tabs>
          <w:tab w:val="right" w:leader="dot" w:pos="8296"/>
        </w:tabs>
        <w:spacing w:line="360" w:lineRule="auto"/>
        <w:rPr>
          <w:rFonts w:ascii="Times New Roman" w:hAnsi="Times New Roman" w:cs="Times New Roman" w:eastAsiaTheme="minorEastAsia"/>
          <w:b/>
          <w:color w:val="auto"/>
          <w:spacing w:val="28"/>
          <w:sz w:val="44"/>
          <w:szCs w:val="44"/>
        </w:rPr>
      </w:pPr>
    </w:p>
    <w:p>
      <w:pPr>
        <w:jc w:val="center"/>
        <w:rPr>
          <w:b/>
          <w:color w:val="auto"/>
          <w:sz w:val="32"/>
        </w:rPr>
      </w:pPr>
      <w:r>
        <w:rPr>
          <w:rFonts w:hint="eastAsia"/>
          <w:b/>
          <w:color w:val="auto"/>
          <w:sz w:val="32"/>
        </w:rPr>
        <w:t>目  录</w:t>
      </w:r>
    </w:p>
    <w:p>
      <w:pPr>
        <w:pStyle w:val="7"/>
        <w:rPr>
          <w:color w:val="auto"/>
        </w:rPr>
      </w:pPr>
    </w:p>
    <w:p>
      <w:pPr>
        <w:pStyle w:val="13"/>
        <w:tabs>
          <w:tab w:val="right" w:leader="dot" w:pos="8296"/>
        </w:tabs>
        <w:spacing w:line="360" w:lineRule="auto"/>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pacing w:val="28"/>
          <w:sz w:val="24"/>
          <w:szCs w:val="24"/>
        </w:rPr>
        <w:fldChar w:fldCharType="begin"/>
      </w:r>
      <w:r>
        <w:rPr>
          <w:rFonts w:ascii="Times New Roman" w:hAnsi="Times New Roman" w:cs="Times New Roman" w:eastAsiaTheme="minorEastAsia"/>
          <w:color w:val="auto"/>
          <w:spacing w:val="28"/>
          <w:sz w:val="24"/>
          <w:szCs w:val="24"/>
        </w:rPr>
        <w:instrText xml:space="preserve"> TOC \o "1-3" \h \z \u </w:instrText>
      </w:r>
      <w:r>
        <w:rPr>
          <w:rFonts w:ascii="Times New Roman" w:hAnsi="Times New Roman" w:cs="Times New Roman" w:eastAsiaTheme="minorEastAsia"/>
          <w:color w:val="auto"/>
          <w:spacing w:val="28"/>
          <w:sz w:val="24"/>
          <w:szCs w:val="24"/>
        </w:rPr>
        <w:fldChar w:fldCharType="separate"/>
      </w:r>
      <w:r>
        <w:rPr>
          <w:color w:val="auto"/>
        </w:rPr>
        <w:fldChar w:fldCharType="begin"/>
      </w:r>
      <w:r>
        <w:rPr>
          <w:color w:val="auto"/>
        </w:rPr>
        <w:instrText xml:space="preserve"> HYPERLINK \l "_Toc68103675" </w:instrText>
      </w:r>
      <w:r>
        <w:rPr>
          <w:color w:val="auto"/>
        </w:rPr>
        <w:fldChar w:fldCharType="separate"/>
      </w:r>
      <w:r>
        <w:rPr>
          <w:rStyle w:val="21"/>
          <w:rFonts w:ascii="Times New Roman" w:hAnsi="Times New Roman" w:cs="Times New Roman" w:eastAsiaTheme="minorEastAsia"/>
          <w:color w:val="auto"/>
          <w:sz w:val="24"/>
          <w:szCs w:val="24"/>
        </w:rPr>
        <w:t>一、园区概况</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_Toc68103675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3"/>
        <w:tabs>
          <w:tab w:val="right" w:leader="dot" w:pos="8296"/>
        </w:tabs>
        <w:spacing w:line="360" w:lineRule="auto"/>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"_Toc68103676" </w:instrText>
      </w:r>
      <w:r>
        <w:rPr>
          <w:color w:val="auto"/>
        </w:rPr>
        <w:fldChar w:fldCharType="separate"/>
      </w:r>
      <w:r>
        <w:rPr>
          <w:rStyle w:val="21"/>
          <w:rFonts w:ascii="Times New Roman" w:hAnsi="Times New Roman" w:cs="Times New Roman" w:eastAsiaTheme="minorEastAsia"/>
          <w:color w:val="auto"/>
          <w:sz w:val="24"/>
          <w:szCs w:val="24"/>
        </w:rPr>
        <w:t>二、环境管理情况</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_Toc68103676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2</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"_Toc68103677" </w:instrText>
      </w:r>
      <w:r>
        <w:rPr>
          <w:color w:val="auto"/>
        </w:rPr>
        <w:fldChar w:fldCharType="separate"/>
      </w:r>
      <w:r>
        <w:rPr>
          <w:rStyle w:val="21"/>
          <w:rFonts w:ascii="Times New Roman" w:hAnsi="Times New Roman" w:cs="Times New Roman" w:eastAsiaTheme="minorEastAsia"/>
          <w:color w:val="auto"/>
          <w:sz w:val="24"/>
          <w:szCs w:val="24"/>
        </w:rPr>
        <w:t>（一）规划环评批复要求落实情况</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_Toc68103677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2</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"_Toc68103678" </w:instrText>
      </w:r>
      <w:r>
        <w:rPr>
          <w:color w:val="auto"/>
        </w:rPr>
        <w:fldChar w:fldCharType="separate"/>
      </w:r>
      <w:r>
        <w:rPr>
          <w:rStyle w:val="21"/>
          <w:rFonts w:ascii="Times New Roman" w:hAnsi="Times New Roman" w:cs="Times New Roman" w:eastAsiaTheme="minorEastAsia"/>
          <w:color w:val="auto"/>
          <w:sz w:val="24"/>
          <w:szCs w:val="24"/>
        </w:rPr>
        <w:t>（二）“三线一单”落地应用情况</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_Toc68103678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6</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"_Toc68103679" </w:instrText>
      </w:r>
      <w:r>
        <w:rPr>
          <w:color w:val="auto"/>
        </w:rPr>
        <w:fldChar w:fldCharType="separate"/>
      </w:r>
      <w:r>
        <w:rPr>
          <w:rStyle w:val="21"/>
          <w:rFonts w:ascii="Times New Roman" w:hAnsi="Times New Roman" w:cs="Times New Roman" w:eastAsiaTheme="minorEastAsia"/>
          <w:color w:val="auto"/>
          <w:sz w:val="24"/>
          <w:szCs w:val="24"/>
        </w:rPr>
        <w:t>（三）水环境管理</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_Toc68103679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10</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"_Toc68103680" </w:instrText>
      </w:r>
      <w:r>
        <w:rPr>
          <w:color w:val="auto"/>
        </w:rPr>
        <w:fldChar w:fldCharType="separate"/>
      </w:r>
      <w:r>
        <w:rPr>
          <w:rStyle w:val="21"/>
          <w:rFonts w:ascii="Times New Roman" w:hAnsi="Times New Roman" w:cs="Times New Roman" w:eastAsiaTheme="minorEastAsia"/>
          <w:color w:val="auto"/>
          <w:sz w:val="24"/>
          <w:szCs w:val="24"/>
        </w:rPr>
        <w:t>（四）大气环境管理</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_Toc68103680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11</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"_Toc68103681" </w:instrText>
      </w:r>
      <w:r>
        <w:rPr>
          <w:color w:val="auto"/>
        </w:rPr>
        <w:fldChar w:fldCharType="separate"/>
      </w:r>
      <w:r>
        <w:rPr>
          <w:rStyle w:val="21"/>
          <w:rFonts w:ascii="Times New Roman" w:hAnsi="Times New Roman" w:cs="Times New Roman" w:eastAsiaTheme="minorEastAsia"/>
          <w:color w:val="auto"/>
          <w:sz w:val="24"/>
          <w:szCs w:val="24"/>
        </w:rPr>
        <w:t>（五）土壤环境管理</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_Toc68103681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12</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"_Toc68103682" </w:instrText>
      </w:r>
      <w:r>
        <w:rPr>
          <w:color w:val="auto"/>
        </w:rPr>
        <w:fldChar w:fldCharType="separate"/>
      </w:r>
      <w:r>
        <w:rPr>
          <w:rStyle w:val="21"/>
          <w:rFonts w:ascii="Times New Roman" w:hAnsi="Times New Roman" w:cs="Times New Roman" w:eastAsiaTheme="minorEastAsia"/>
          <w:color w:val="auto"/>
          <w:sz w:val="24"/>
          <w:szCs w:val="24"/>
        </w:rPr>
        <w:t>（六）固体废物管理</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_Toc68103682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13</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"_Toc68103683" </w:instrText>
      </w:r>
      <w:r>
        <w:rPr>
          <w:color w:val="auto"/>
        </w:rPr>
        <w:fldChar w:fldCharType="separate"/>
      </w:r>
      <w:r>
        <w:rPr>
          <w:rStyle w:val="21"/>
          <w:rFonts w:ascii="Times New Roman" w:hAnsi="Times New Roman" w:cs="Times New Roman" w:eastAsiaTheme="minorEastAsia"/>
          <w:color w:val="auto"/>
          <w:sz w:val="24"/>
          <w:szCs w:val="24"/>
        </w:rPr>
        <w:t>（七）投诉管理</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_Toc68103683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14</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"_Toc68103684" </w:instrText>
      </w:r>
      <w:r>
        <w:rPr>
          <w:color w:val="auto"/>
        </w:rPr>
        <w:fldChar w:fldCharType="separate"/>
      </w:r>
      <w:r>
        <w:rPr>
          <w:rStyle w:val="21"/>
          <w:rFonts w:ascii="Times New Roman" w:hAnsi="Times New Roman" w:cs="Times New Roman" w:eastAsiaTheme="minorEastAsia"/>
          <w:color w:val="auto"/>
          <w:sz w:val="24"/>
          <w:szCs w:val="24"/>
        </w:rPr>
        <w:t>（八）园区信用评价</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_Toc68103684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14</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3"/>
        <w:tabs>
          <w:tab w:val="right" w:leader="dot" w:pos="8296"/>
        </w:tabs>
        <w:spacing w:line="360" w:lineRule="auto"/>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"_Toc68103685" </w:instrText>
      </w:r>
      <w:r>
        <w:rPr>
          <w:color w:val="auto"/>
        </w:rPr>
        <w:fldChar w:fldCharType="separate"/>
      </w:r>
      <w:r>
        <w:rPr>
          <w:rStyle w:val="21"/>
          <w:rFonts w:ascii="Times New Roman" w:hAnsi="Times New Roman" w:cs="Times New Roman" w:eastAsiaTheme="minorEastAsia"/>
          <w:color w:val="auto"/>
          <w:sz w:val="24"/>
          <w:szCs w:val="24"/>
        </w:rPr>
        <w:t>三、园区环保工作成效、主要措施做法</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_Toc68103685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16</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"_Toc68103686" </w:instrText>
      </w:r>
      <w:r>
        <w:rPr>
          <w:color w:val="auto"/>
        </w:rPr>
        <w:fldChar w:fldCharType="separate"/>
      </w:r>
      <w:r>
        <w:rPr>
          <w:rStyle w:val="21"/>
          <w:rFonts w:ascii="Times New Roman" w:hAnsi="Times New Roman" w:cs="Times New Roman" w:eastAsiaTheme="minorEastAsia"/>
          <w:color w:val="auto"/>
          <w:sz w:val="24"/>
          <w:szCs w:val="24"/>
        </w:rPr>
        <w:t>（一）生态环境保护工作成效明显</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_Toc68103686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16</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"_Toc68103687" </w:instrText>
      </w:r>
      <w:r>
        <w:rPr>
          <w:color w:val="auto"/>
        </w:rPr>
        <w:fldChar w:fldCharType="separate"/>
      </w:r>
      <w:r>
        <w:rPr>
          <w:rStyle w:val="21"/>
          <w:rFonts w:ascii="Times New Roman" w:hAnsi="Times New Roman" w:cs="Times New Roman" w:eastAsiaTheme="minorEastAsia"/>
          <w:color w:val="auto"/>
          <w:sz w:val="24"/>
          <w:szCs w:val="24"/>
        </w:rPr>
        <w:t>（二）环境准入管理进一步规范</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_Toc68103687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17</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"_Toc68103688" </w:instrText>
      </w:r>
      <w:r>
        <w:rPr>
          <w:color w:val="auto"/>
        </w:rPr>
        <w:fldChar w:fldCharType="separate"/>
      </w:r>
      <w:r>
        <w:rPr>
          <w:rStyle w:val="21"/>
          <w:rFonts w:ascii="Times New Roman" w:hAnsi="Times New Roman" w:cs="Times New Roman" w:eastAsiaTheme="minorEastAsia"/>
          <w:color w:val="auto"/>
          <w:sz w:val="24"/>
          <w:szCs w:val="24"/>
        </w:rPr>
        <w:t>（三）落实环境问题整改</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_Toc68103688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17</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4"/>
        <w:tabs>
          <w:tab w:val="right" w:leader="dot" w:pos="8296"/>
        </w:tabs>
        <w:spacing w:line="360" w:lineRule="auto"/>
        <w:ind w:left="560"/>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"_Toc68103689" </w:instrText>
      </w:r>
      <w:r>
        <w:rPr>
          <w:color w:val="auto"/>
        </w:rPr>
        <w:fldChar w:fldCharType="separate"/>
      </w:r>
      <w:r>
        <w:rPr>
          <w:rStyle w:val="21"/>
          <w:rFonts w:ascii="Times New Roman" w:hAnsi="Times New Roman" w:cs="Times New Roman" w:eastAsiaTheme="minorEastAsia"/>
          <w:color w:val="auto"/>
          <w:sz w:val="24"/>
          <w:szCs w:val="24"/>
        </w:rPr>
        <w:t>（四）环境风险防控机制进一步完善</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_Toc68103689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19</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3"/>
        <w:tabs>
          <w:tab w:val="right" w:leader="dot" w:pos="8296"/>
        </w:tabs>
        <w:spacing w:line="360" w:lineRule="auto"/>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"_Toc68103690" </w:instrText>
      </w:r>
      <w:r>
        <w:rPr>
          <w:color w:val="auto"/>
        </w:rPr>
        <w:fldChar w:fldCharType="separate"/>
      </w:r>
      <w:r>
        <w:rPr>
          <w:rStyle w:val="21"/>
          <w:rFonts w:ascii="Times New Roman" w:hAnsi="Times New Roman" w:cs="Times New Roman" w:eastAsiaTheme="minorEastAsia"/>
          <w:color w:val="auto"/>
          <w:sz w:val="24"/>
          <w:szCs w:val="24"/>
        </w:rPr>
        <w:t>四、园区生态环境管理存在主要问题和难题</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_Toc68103690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19</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pStyle w:val="13"/>
        <w:tabs>
          <w:tab w:val="right" w:leader="dot" w:pos="8296"/>
        </w:tabs>
        <w:spacing w:line="360" w:lineRule="auto"/>
        <w:rPr>
          <w:rFonts w:ascii="Times New Roman" w:hAnsi="Times New Roman" w:cs="Times New Roman" w:eastAsiaTheme="minorEastAsia"/>
          <w:color w:val="auto"/>
          <w:sz w:val="24"/>
          <w:szCs w:val="24"/>
        </w:rPr>
      </w:pPr>
      <w:r>
        <w:rPr>
          <w:color w:val="auto"/>
        </w:rPr>
        <w:fldChar w:fldCharType="begin"/>
      </w:r>
      <w:r>
        <w:rPr>
          <w:color w:val="auto"/>
        </w:rPr>
        <w:instrText xml:space="preserve"> HYPERLINK \l "_Toc68103691" </w:instrText>
      </w:r>
      <w:r>
        <w:rPr>
          <w:color w:val="auto"/>
        </w:rPr>
        <w:fldChar w:fldCharType="separate"/>
      </w:r>
      <w:r>
        <w:rPr>
          <w:rStyle w:val="21"/>
          <w:rFonts w:ascii="Times New Roman" w:hAnsi="Times New Roman" w:cs="Times New Roman" w:eastAsiaTheme="minorEastAsia"/>
          <w:color w:val="auto"/>
          <w:sz w:val="24"/>
          <w:szCs w:val="24"/>
        </w:rPr>
        <w:t>五、下一步工作计划</w:t>
      </w:r>
      <w:r>
        <w:rPr>
          <w:rFonts w:ascii="Times New Roman" w:hAnsi="Times New Roman" w:cs="Times New Roman" w:eastAsiaTheme="minorEastAsia"/>
          <w:color w:val="auto"/>
          <w:sz w:val="24"/>
          <w:szCs w:val="24"/>
        </w:rPr>
        <w:tab/>
      </w:r>
      <w:r>
        <w:rPr>
          <w:rFonts w:ascii="Times New Roman" w:hAnsi="Times New Roman" w:cs="Times New Roman" w:eastAsiaTheme="minorEastAsia"/>
          <w:color w:val="auto"/>
          <w:sz w:val="24"/>
          <w:szCs w:val="24"/>
        </w:rPr>
        <w:fldChar w:fldCharType="begin"/>
      </w:r>
      <w:r>
        <w:rPr>
          <w:rFonts w:ascii="Times New Roman" w:hAnsi="Times New Roman" w:cs="Times New Roman" w:eastAsiaTheme="minorEastAsia"/>
          <w:color w:val="auto"/>
          <w:sz w:val="24"/>
          <w:szCs w:val="24"/>
        </w:rPr>
        <w:instrText xml:space="preserve"> PAGEREF _Toc68103691 \h </w:instrText>
      </w:r>
      <w:r>
        <w:rPr>
          <w:rFonts w:ascii="Times New Roman" w:hAnsi="Times New Roman" w:cs="Times New Roman" w:eastAsiaTheme="minorEastAsia"/>
          <w:color w:val="auto"/>
          <w:sz w:val="24"/>
          <w:szCs w:val="24"/>
        </w:rPr>
        <w:fldChar w:fldCharType="separate"/>
      </w:r>
      <w:r>
        <w:rPr>
          <w:rFonts w:ascii="Times New Roman" w:hAnsi="Times New Roman" w:cs="Times New Roman" w:eastAsiaTheme="minorEastAsia"/>
          <w:color w:val="auto"/>
          <w:sz w:val="24"/>
          <w:szCs w:val="24"/>
        </w:rPr>
        <w:t>21</w:t>
      </w:r>
      <w:r>
        <w:rPr>
          <w:rFonts w:ascii="Times New Roman" w:hAnsi="Times New Roman" w:cs="Times New Roman" w:eastAsiaTheme="minorEastAsia"/>
          <w:color w:val="auto"/>
          <w:sz w:val="24"/>
          <w:szCs w:val="24"/>
        </w:rPr>
        <w:fldChar w:fldCharType="end"/>
      </w:r>
      <w:r>
        <w:rPr>
          <w:rFonts w:ascii="Times New Roman" w:hAnsi="Times New Roman" w:cs="Times New Roman" w:eastAsiaTheme="minorEastAsia"/>
          <w:color w:val="auto"/>
          <w:sz w:val="24"/>
          <w:szCs w:val="24"/>
        </w:rPr>
        <w:fldChar w:fldCharType="end"/>
      </w:r>
    </w:p>
    <w:p>
      <w:pPr>
        <w:spacing w:line="360" w:lineRule="auto"/>
        <w:jc w:val="center"/>
        <w:rPr>
          <w:rFonts w:ascii="Times New Roman" w:hAnsi="Times New Roman" w:cs="Times New Roman" w:eastAsiaTheme="minorEastAsia"/>
          <w:b/>
          <w:color w:val="auto"/>
          <w:spacing w:val="28"/>
          <w:sz w:val="44"/>
          <w:szCs w:val="44"/>
        </w:rPr>
      </w:pPr>
      <w:r>
        <w:rPr>
          <w:rFonts w:ascii="Times New Roman" w:hAnsi="Times New Roman" w:cs="Times New Roman" w:eastAsiaTheme="minorEastAsia"/>
          <w:color w:val="auto"/>
          <w:spacing w:val="28"/>
          <w:sz w:val="24"/>
          <w:szCs w:val="24"/>
        </w:rPr>
        <w:fldChar w:fldCharType="end"/>
      </w:r>
    </w:p>
    <w:p>
      <w:pPr>
        <w:spacing w:line="360" w:lineRule="auto"/>
        <w:jc w:val="center"/>
        <w:rPr>
          <w:rFonts w:ascii="Times New Roman" w:hAnsi="Times New Roman" w:cs="Times New Roman" w:eastAsiaTheme="minorEastAsia"/>
          <w:b/>
          <w:color w:val="auto"/>
          <w:spacing w:val="28"/>
          <w:sz w:val="44"/>
          <w:szCs w:val="44"/>
        </w:rPr>
      </w:pPr>
    </w:p>
    <w:p>
      <w:pPr>
        <w:spacing w:line="360" w:lineRule="auto"/>
        <w:jc w:val="center"/>
        <w:rPr>
          <w:rFonts w:ascii="Times New Roman" w:hAnsi="Times New Roman" w:cs="Times New Roman" w:eastAsiaTheme="minorEastAsia"/>
          <w:b/>
          <w:color w:val="auto"/>
          <w:spacing w:val="28"/>
          <w:sz w:val="44"/>
          <w:szCs w:val="44"/>
        </w:rPr>
      </w:pPr>
    </w:p>
    <w:p>
      <w:pPr>
        <w:spacing w:line="360" w:lineRule="auto"/>
        <w:jc w:val="center"/>
        <w:rPr>
          <w:rFonts w:ascii="Times New Roman" w:hAnsi="Times New Roman" w:cs="Times New Roman" w:eastAsiaTheme="minorEastAsia"/>
          <w:b/>
          <w:color w:val="auto"/>
          <w:spacing w:val="28"/>
          <w:sz w:val="44"/>
          <w:szCs w:val="44"/>
        </w:rPr>
      </w:pPr>
    </w:p>
    <w:p>
      <w:pPr>
        <w:spacing w:line="360" w:lineRule="auto"/>
        <w:jc w:val="center"/>
        <w:rPr>
          <w:rFonts w:ascii="Times New Roman" w:hAnsi="Times New Roman" w:cs="Times New Roman" w:eastAsiaTheme="minorEastAsia"/>
          <w:b/>
          <w:color w:val="auto"/>
          <w:spacing w:val="28"/>
          <w:sz w:val="44"/>
          <w:szCs w:val="44"/>
        </w:rPr>
      </w:pPr>
    </w:p>
    <w:p>
      <w:pPr>
        <w:spacing w:line="360" w:lineRule="auto"/>
        <w:jc w:val="center"/>
        <w:rPr>
          <w:rFonts w:ascii="Times New Roman" w:hAnsi="Times New Roman" w:cs="Times New Roman" w:eastAsiaTheme="minorEastAsia"/>
          <w:b/>
          <w:color w:val="auto"/>
          <w:spacing w:val="28"/>
          <w:sz w:val="44"/>
          <w:szCs w:val="44"/>
        </w:rPr>
      </w:pPr>
    </w:p>
    <w:p>
      <w:pPr>
        <w:spacing w:line="360" w:lineRule="auto"/>
        <w:jc w:val="center"/>
        <w:rPr>
          <w:rFonts w:ascii="Times New Roman" w:hAnsi="Times New Roman" w:cs="Times New Roman" w:eastAsiaTheme="minorEastAsia"/>
          <w:b/>
          <w:color w:val="auto"/>
          <w:spacing w:val="28"/>
          <w:sz w:val="44"/>
          <w:szCs w:val="44"/>
        </w:rPr>
      </w:pPr>
    </w:p>
    <w:p>
      <w:pPr>
        <w:spacing w:line="360" w:lineRule="auto"/>
        <w:jc w:val="center"/>
        <w:rPr>
          <w:rFonts w:ascii="Times New Roman" w:hAnsi="Times New Roman" w:cs="Times New Roman" w:eastAsiaTheme="minorEastAsia"/>
          <w:b/>
          <w:color w:val="auto"/>
          <w:spacing w:val="28"/>
          <w:sz w:val="44"/>
          <w:szCs w:val="44"/>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360" w:lineRule="auto"/>
        <w:outlineLvl w:val="0"/>
        <w:rPr>
          <w:rFonts w:ascii="Times New Roman" w:hAnsi="Times New Roman" w:cs="Times New Roman" w:eastAsiaTheme="minorEastAsia"/>
          <w:b/>
          <w:color w:val="auto"/>
          <w:szCs w:val="32"/>
        </w:rPr>
      </w:pPr>
      <w:bookmarkStart w:id="1" w:name="_Toc68103675"/>
      <w:r>
        <w:rPr>
          <w:rFonts w:ascii="Times New Roman" w:hAnsi="Times New Roman" w:cs="Times New Roman" w:eastAsiaTheme="minorEastAsia"/>
          <w:b/>
          <w:color w:val="auto"/>
          <w:szCs w:val="32"/>
        </w:rPr>
        <w:t>一、园区概况</w:t>
      </w:r>
      <w:bookmarkEnd w:id="1"/>
    </w:p>
    <w:p>
      <w:pPr>
        <w:keepNext w:val="0"/>
        <w:keepLines w:val="0"/>
        <w:widowControl/>
        <w:suppressLineNumbers w:val="0"/>
        <w:ind w:firstLine="560" w:firstLineChars="200"/>
        <w:jc w:val="left"/>
        <w:rPr>
          <w:rFonts w:hint="eastAsia" w:ascii="Times New Roman" w:hAnsi="Times New Roman" w:cs="Times New Roman" w:eastAsiaTheme="minorEastAsia"/>
          <w:color w:val="auto"/>
          <w:szCs w:val="28"/>
          <w:lang w:val="en-US" w:eastAsia="zh-CN"/>
        </w:rPr>
      </w:pPr>
      <w:r>
        <w:rPr>
          <w:rFonts w:hint="eastAsia" w:ascii="Times New Roman" w:hAnsi="Times New Roman" w:cs="Times New Roman" w:eastAsiaTheme="minorEastAsia"/>
          <w:color w:val="auto"/>
          <w:szCs w:val="28"/>
          <w:lang w:val="en-US" w:eastAsia="zh-CN"/>
        </w:rPr>
        <w:t xml:space="preserve">沅陵产业开发区原为沅陵工业园，经 </w:t>
      </w:r>
      <w:r>
        <w:rPr>
          <w:rFonts w:hint="default" w:ascii="Times New Roman" w:hAnsi="Times New Roman" w:cs="Times New Roman" w:eastAsiaTheme="minorEastAsia"/>
          <w:color w:val="auto"/>
          <w:szCs w:val="28"/>
          <w:lang w:val="en-US" w:eastAsia="zh-CN"/>
        </w:rPr>
        <w:t xml:space="preserve">2007 </w:t>
      </w:r>
      <w:r>
        <w:rPr>
          <w:rFonts w:hint="eastAsia" w:ascii="Times New Roman" w:hAnsi="Times New Roman" w:cs="Times New Roman" w:eastAsiaTheme="minorEastAsia"/>
          <w:color w:val="auto"/>
          <w:szCs w:val="28"/>
          <w:lang w:val="en-US" w:eastAsia="zh-CN"/>
        </w:rPr>
        <w:t>年第三期沅陵县委常委会议批准同意，并设立沅陵工业园管理委员会，</w:t>
      </w:r>
      <w:r>
        <w:rPr>
          <w:rFonts w:hint="default" w:ascii="Times New Roman" w:hAnsi="Times New Roman" w:cs="Times New Roman" w:eastAsiaTheme="minorEastAsia"/>
          <w:color w:val="auto"/>
          <w:szCs w:val="28"/>
          <w:lang w:val="en-US" w:eastAsia="zh-CN"/>
        </w:rPr>
        <w:t xml:space="preserve">2012 </w:t>
      </w:r>
      <w:r>
        <w:rPr>
          <w:rFonts w:hint="eastAsia" w:ascii="Times New Roman" w:hAnsi="Times New Roman" w:cs="Times New Roman" w:eastAsiaTheme="minorEastAsia"/>
          <w:color w:val="auto"/>
          <w:szCs w:val="28"/>
          <w:lang w:val="en-US" w:eastAsia="zh-CN"/>
        </w:rPr>
        <w:t xml:space="preserve">年 </w:t>
      </w:r>
      <w:r>
        <w:rPr>
          <w:rFonts w:hint="default" w:ascii="Times New Roman" w:hAnsi="Times New Roman" w:cs="Times New Roman" w:eastAsiaTheme="minorEastAsia"/>
          <w:color w:val="auto"/>
          <w:szCs w:val="28"/>
          <w:lang w:val="en-US" w:eastAsia="zh-CN"/>
        </w:rPr>
        <w:t xml:space="preserve">11 </w:t>
      </w:r>
      <w:r>
        <w:rPr>
          <w:rFonts w:hint="eastAsia" w:ascii="Times New Roman" w:hAnsi="Times New Roman" w:cs="Times New Roman" w:eastAsiaTheme="minorEastAsia"/>
          <w:color w:val="auto"/>
          <w:szCs w:val="28"/>
          <w:lang w:val="en-US" w:eastAsia="zh-CN"/>
        </w:rPr>
        <w:t xml:space="preserve">月经湖南省人民政府【湘办发 </w:t>
      </w:r>
      <w:r>
        <w:rPr>
          <w:rFonts w:hint="default" w:ascii="Times New Roman" w:hAnsi="Times New Roman" w:cs="Times New Roman" w:eastAsiaTheme="minorEastAsia"/>
          <w:color w:val="auto"/>
          <w:szCs w:val="28"/>
          <w:lang w:val="en-US" w:eastAsia="zh-CN"/>
        </w:rPr>
        <w:t xml:space="preserve">[2012] 187 </w:t>
      </w:r>
      <w:r>
        <w:rPr>
          <w:rFonts w:hint="eastAsia" w:ascii="Times New Roman" w:hAnsi="Times New Roman" w:cs="Times New Roman" w:eastAsiaTheme="minorEastAsia"/>
          <w:color w:val="auto"/>
          <w:szCs w:val="28"/>
          <w:lang w:val="en-US" w:eastAsia="zh-CN"/>
        </w:rPr>
        <w:t xml:space="preserve">号】 批准设立为省级工业集中区，同时更名为沅陵工业集中区。原沅陵工业园管理委员会于 </w:t>
      </w:r>
      <w:r>
        <w:rPr>
          <w:rFonts w:hint="default" w:ascii="Times New Roman" w:hAnsi="Times New Roman" w:cs="Times New Roman" w:eastAsiaTheme="minorEastAsia"/>
          <w:color w:val="auto"/>
          <w:szCs w:val="28"/>
          <w:lang w:val="en-US" w:eastAsia="zh-CN"/>
        </w:rPr>
        <w:t xml:space="preserve">2008 </w:t>
      </w:r>
      <w:r>
        <w:rPr>
          <w:rFonts w:hint="eastAsia" w:ascii="Times New Roman" w:hAnsi="Times New Roman" w:cs="Times New Roman" w:eastAsiaTheme="minorEastAsia"/>
          <w:color w:val="auto"/>
          <w:szCs w:val="28"/>
          <w:lang w:val="en-US" w:eastAsia="zh-CN"/>
        </w:rPr>
        <w:t>年</w:t>
      </w:r>
      <w:r>
        <w:rPr>
          <w:rFonts w:hint="default" w:ascii="Times New Roman" w:hAnsi="Times New Roman" w:cs="Times New Roman" w:eastAsiaTheme="minorEastAsia"/>
          <w:color w:val="auto"/>
          <w:szCs w:val="28"/>
          <w:lang w:val="en-US" w:eastAsia="zh-CN"/>
        </w:rPr>
        <w:t>5</w:t>
      </w:r>
      <w:r>
        <w:rPr>
          <w:rFonts w:hint="eastAsia" w:ascii="Times New Roman" w:hAnsi="Times New Roman" w:cs="Times New Roman" w:eastAsiaTheme="minorEastAsia"/>
          <w:color w:val="auto"/>
          <w:szCs w:val="28"/>
          <w:lang w:val="en-US" w:eastAsia="zh-CN"/>
        </w:rPr>
        <w:t>月委托怀化市环境保护科学研究所进行沅陵工业园的环境影响评价工作，</w:t>
      </w:r>
      <w:r>
        <w:rPr>
          <w:rFonts w:hint="default" w:ascii="Times New Roman" w:hAnsi="Times New Roman" w:cs="Times New Roman" w:eastAsiaTheme="minorEastAsia"/>
          <w:color w:val="auto"/>
          <w:szCs w:val="28"/>
          <w:lang w:val="en-US" w:eastAsia="zh-CN"/>
        </w:rPr>
        <w:t xml:space="preserve">2011 </w:t>
      </w:r>
      <w:r>
        <w:rPr>
          <w:rFonts w:hint="eastAsia" w:ascii="Times New Roman" w:hAnsi="Times New Roman" w:cs="Times New Roman" w:eastAsiaTheme="minorEastAsia"/>
          <w:color w:val="auto"/>
          <w:szCs w:val="28"/>
          <w:lang w:val="en-US" w:eastAsia="zh-CN"/>
        </w:rPr>
        <w:t xml:space="preserve">年 </w:t>
      </w:r>
      <w:r>
        <w:rPr>
          <w:rFonts w:hint="default" w:ascii="Times New Roman" w:hAnsi="Times New Roman" w:cs="Times New Roman" w:eastAsiaTheme="minorEastAsia"/>
          <w:color w:val="auto"/>
          <w:szCs w:val="28"/>
          <w:lang w:val="en-US" w:eastAsia="zh-CN"/>
        </w:rPr>
        <w:t xml:space="preserve">1 </w:t>
      </w:r>
      <w:r>
        <w:rPr>
          <w:rFonts w:hint="eastAsia" w:ascii="Times New Roman" w:hAnsi="Times New Roman" w:cs="Times New Roman" w:eastAsiaTheme="minorEastAsia"/>
          <w:color w:val="auto"/>
          <w:szCs w:val="28"/>
          <w:lang w:val="en-US" w:eastAsia="zh-CN"/>
        </w:rPr>
        <w:t xml:space="preserve">月 </w:t>
      </w:r>
      <w:r>
        <w:rPr>
          <w:rFonts w:hint="default" w:ascii="Times New Roman" w:hAnsi="Times New Roman" w:cs="Times New Roman" w:eastAsiaTheme="minorEastAsia"/>
          <w:color w:val="auto"/>
          <w:szCs w:val="28"/>
          <w:lang w:val="en-US" w:eastAsia="zh-CN"/>
        </w:rPr>
        <w:t xml:space="preserve">6 </w:t>
      </w:r>
      <w:r>
        <w:rPr>
          <w:rFonts w:hint="eastAsia" w:ascii="Times New Roman" w:hAnsi="Times New Roman" w:cs="Times New Roman" w:eastAsiaTheme="minorEastAsia"/>
          <w:color w:val="auto"/>
          <w:szCs w:val="28"/>
          <w:lang w:val="en-US" w:eastAsia="zh-CN"/>
        </w:rPr>
        <w:t>日，湖南省环境保护厅以湘环评</w:t>
      </w:r>
      <w:r>
        <w:rPr>
          <w:rFonts w:hint="default" w:ascii="Times New Roman" w:hAnsi="Times New Roman" w:cs="Times New Roman" w:eastAsiaTheme="minorEastAsia"/>
          <w:color w:val="auto"/>
          <w:szCs w:val="28"/>
          <w:lang w:val="en-US" w:eastAsia="zh-CN"/>
        </w:rPr>
        <w:t xml:space="preserve">[2011]5 </w:t>
      </w:r>
      <w:r>
        <w:rPr>
          <w:rFonts w:hint="eastAsia" w:ascii="Times New Roman" w:hAnsi="Times New Roman" w:cs="Times New Roman" w:eastAsiaTheme="minorEastAsia"/>
          <w:color w:val="auto"/>
          <w:szCs w:val="28"/>
          <w:lang w:val="en-US" w:eastAsia="zh-CN"/>
        </w:rPr>
        <w:t>号文件对湖南沅陵新能源新材料产业园项目环境影响报告书进行了批复，成立了湖南沅陵新能源新材料产业园，</w:t>
      </w:r>
      <w:r>
        <w:rPr>
          <w:rFonts w:hint="default" w:ascii="Times New Roman" w:hAnsi="Times New Roman" w:cs="Times New Roman" w:eastAsiaTheme="minorEastAsia"/>
          <w:color w:val="auto"/>
          <w:szCs w:val="28"/>
          <w:lang w:val="en-US" w:eastAsia="zh-CN"/>
        </w:rPr>
        <w:t xml:space="preserve">2012 </w:t>
      </w:r>
      <w:r>
        <w:rPr>
          <w:rFonts w:hint="eastAsia" w:ascii="Times New Roman" w:hAnsi="Times New Roman" w:cs="Times New Roman" w:eastAsiaTheme="minorEastAsia"/>
          <w:color w:val="auto"/>
          <w:szCs w:val="28"/>
          <w:lang w:val="en-US" w:eastAsia="zh-CN"/>
        </w:rPr>
        <w:t>年更名为湖南沅陵工业集中区。</w:t>
      </w:r>
      <w:r>
        <w:rPr>
          <w:rFonts w:hint="default" w:ascii="Times New Roman" w:hAnsi="Times New Roman" w:cs="Times New Roman" w:eastAsiaTheme="minorEastAsia"/>
          <w:color w:val="auto"/>
          <w:szCs w:val="28"/>
          <w:lang w:val="en-US" w:eastAsia="zh-CN"/>
        </w:rPr>
        <w:t xml:space="preserve">2021 </w:t>
      </w:r>
      <w:r>
        <w:rPr>
          <w:rFonts w:hint="eastAsia" w:ascii="Times New Roman" w:hAnsi="Times New Roman" w:cs="Times New Roman" w:eastAsiaTheme="minorEastAsia"/>
          <w:color w:val="auto"/>
          <w:szCs w:val="28"/>
          <w:lang w:val="en-US" w:eastAsia="zh-CN"/>
        </w:rPr>
        <w:t xml:space="preserve">年经湖南省发展与改革委员会批准更名为沅陵产业开发区。产业园区东依常吉高速公路，北至高速公路沅陵县城连接线，西、南以山体为界，南北长约 </w:t>
      </w:r>
      <w:r>
        <w:rPr>
          <w:rFonts w:hint="default" w:ascii="Times New Roman" w:hAnsi="Times New Roman" w:cs="Times New Roman" w:eastAsiaTheme="minorEastAsia"/>
          <w:color w:val="auto"/>
          <w:szCs w:val="28"/>
          <w:lang w:val="en-US" w:eastAsia="zh-CN"/>
        </w:rPr>
        <w:t>2km</w:t>
      </w:r>
      <w:r>
        <w:rPr>
          <w:rFonts w:hint="eastAsia" w:ascii="Times New Roman" w:hAnsi="Times New Roman" w:cs="Times New Roman" w:eastAsiaTheme="minorEastAsia"/>
          <w:color w:val="auto"/>
          <w:szCs w:val="28"/>
          <w:lang w:val="en-US" w:eastAsia="zh-CN"/>
        </w:rPr>
        <w:t xml:space="preserve">，东西宽约 </w:t>
      </w:r>
      <w:r>
        <w:rPr>
          <w:rFonts w:hint="default" w:ascii="Times New Roman" w:hAnsi="Times New Roman" w:cs="Times New Roman" w:eastAsiaTheme="minorEastAsia"/>
          <w:color w:val="auto"/>
          <w:szCs w:val="28"/>
          <w:lang w:val="en-US" w:eastAsia="zh-CN"/>
        </w:rPr>
        <w:t>1.5km</w:t>
      </w:r>
      <w:r>
        <w:rPr>
          <w:rFonts w:hint="eastAsia" w:ascii="Times New Roman" w:hAnsi="Times New Roman" w:cs="Times New Roman" w:eastAsiaTheme="minorEastAsia"/>
          <w:color w:val="auto"/>
          <w:szCs w:val="28"/>
          <w:lang w:val="en-US" w:eastAsia="zh-CN"/>
        </w:rPr>
        <w:t xml:space="preserve">，大致为 </w:t>
      </w:r>
      <w:r>
        <w:rPr>
          <w:rFonts w:hint="default" w:ascii="Times New Roman" w:hAnsi="Times New Roman" w:cs="Times New Roman" w:eastAsiaTheme="minorEastAsia"/>
          <w:color w:val="auto"/>
          <w:szCs w:val="28"/>
          <w:lang w:val="en-US" w:eastAsia="zh-CN"/>
        </w:rPr>
        <w:t xml:space="preserve">2km×1.5km </w:t>
      </w:r>
      <w:r>
        <w:rPr>
          <w:rFonts w:hint="eastAsia" w:ascii="Times New Roman" w:hAnsi="Times New Roman" w:cs="Times New Roman" w:eastAsiaTheme="minorEastAsia"/>
          <w:color w:val="auto"/>
          <w:szCs w:val="28"/>
          <w:lang w:val="en-US" w:eastAsia="zh-CN"/>
        </w:rPr>
        <w:t xml:space="preserve">的矩形区域，工业园边界与高速公路及沅陵县城连接线距离不小于 </w:t>
      </w:r>
      <w:r>
        <w:rPr>
          <w:rFonts w:hint="default" w:ascii="Times New Roman" w:hAnsi="Times New Roman" w:cs="Times New Roman" w:eastAsiaTheme="minorEastAsia"/>
          <w:color w:val="auto"/>
          <w:szCs w:val="28"/>
          <w:lang w:val="en-US" w:eastAsia="zh-CN"/>
        </w:rPr>
        <w:t>30m</w:t>
      </w:r>
      <w:r>
        <w:rPr>
          <w:rFonts w:hint="eastAsia" w:ascii="Times New Roman" w:hAnsi="Times New Roman" w:cs="Times New Roman" w:eastAsiaTheme="minorEastAsia"/>
          <w:color w:val="auto"/>
          <w:szCs w:val="28"/>
          <w:lang w:val="en-US" w:eastAsia="zh-CN"/>
        </w:rPr>
        <w:t xml:space="preserve">。规划控制面积约 </w:t>
      </w:r>
      <w:r>
        <w:rPr>
          <w:rFonts w:hint="default" w:ascii="Times New Roman" w:hAnsi="Times New Roman" w:cs="Times New Roman" w:eastAsiaTheme="minorEastAsia"/>
          <w:color w:val="auto"/>
          <w:szCs w:val="28"/>
          <w:lang w:val="en-US" w:eastAsia="zh-CN"/>
        </w:rPr>
        <w:t>3km</w:t>
      </w:r>
      <w:r>
        <w:rPr>
          <w:rFonts w:hint="default" w:ascii="Times New Roman" w:hAnsi="Times New Roman" w:cs="Times New Roman" w:eastAsiaTheme="minorEastAsia"/>
          <w:color w:val="auto"/>
          <w:szCs w:val="28"/>
          <w:vertAlign w:val="superscript"/>
          <w:lang w:val="en-US" w:eastAsia="zh-CN"/>
        </w:rPr>
        <w:t>2</w:t>
      </w:r>
      <w:r>
        <w:rPr>
          <w:rFonts w:hint="eastAsia" w:ascii="Times New Roman" w:hAnsi="Times New Roman" w:cs="Times New Roman" w:eastAsiaTheme="minorEastAsia"/>
          <w:color w:val="auto"/>
          <w:szCs w:val="28"/>
          <w:lang w:val="en-US" w:eastAsia="zh-CN"/>
        </w:rPr>
        <w:t xml:space="preserve">，其中工业园建设用地面积 </w:t>
      </w:r>
      <w:r>
        <w:rPr>
          <w:rFonts w:hint="default" w:ascii="Times New Roman" w:hAnsi="Times New Roman" w:cs="Times New Roman" w:eastAsiaTheme="minorEastAsia"/>
          <w:color w:val="auto"/>
          <w:szCs w:val="28"/>
          <w:lang w:val="en-US" w:eastAsia="zh-CN"/>
        </w:rPr>
        <w:t>2.2819km</w:t>
      </w:r>
      <w:r>
        <w:rPr>
          <w:rFonts w:hint="default" w:ascii="Times New Roman" w:hAnsi="Times New Roman" w:cs="Times New Roman" w:eastAsiaTheme="minorEastAsia"/>
          <w:color w:val="auto"/>
          <w:szCs w:val="28"/>
          <w:vertAlign w:val="superscript"/>
          <w:lang w:val="en-US" w:eastAsia="zh-CN"/>
        </w:rPr>
        <w:t>2</w:t>
      </w:r>
      <w:r>
        <w:rPr>
          <w:rFonts w:hint="eastAsia" w:ascii="Times New Roman" w:hAnsi="Times New Roman" w:cs="Times New Roman" w:eastAsiaTheme="minorEastAsia"/>
          <w:color w:val="auto"/>
          <w:szCs w:val="28"/>
          <w:lang w:val="en-US" w:eastAsia="zh-CN"/>
        </w:rPr>
        <w:t>。根据《中国开发区审核公告目录》（</w:t>
      </w:r>
      <w:r>
        <w:rPr>
          <w:rFonts w:hint="default" w:ascii="Times New Roman" w:hAnsi="Times New Roman" w:cs="Times New Roman" w:eastAsiaTheme="minorEastAsia"/>
          <w:color w:val="auto"/>
          <w:szCs w:val="28"/>
          <w:lang w:val="en-US" w:eastAsia="zh-CN"/>
        </w:rPr>
        <w:t xml:space="preserve">2018 </w:t>
      </w:r>
      <w:r>
        <w:rPr>
          <w:rFonts w:hint="eastAsia" w:ascii="Times New Roman" w:hAnsi="Times New Roman" w:cs="Times New Roman" w:eastAsiaTheme="minorEastAsia"/>
          <w:color w:val="auto"/>
          <w:szCs w:val="28"/>
          <w:lang w:val="en-US" w:eastAsia="zh-CN"/>
        </w:rPr>
        <w:t xml:space="preserve">年版），沅陵产业开发区的核准面积为 </w:t>
      </w:r>
      <w:r>
        <w:rPr>
          <w:rFonts w:hint="default" w:ascii="Times New Roman" w:hAnsi="Times New Roman" w:cs="Times New Roman" w:eastAsiaTheme="minorEastAsia"/>
          <w:color w:val="auto"/>
          <w:szCs w:val="28"/>
          <w:lang w:val="en-US" w:eastAsia="zh-CN"/>
        </w:rPr>
        <w:t>300.09 hm</w:t>
      </w:r>
      <w:r>
        <w:rPr>
          <w:rFonts w:hint="default" w:ascii="Times New Roman" w:hAnsi="Times New Roman" w:cs="Times New Roman" w:eastAsiaTheme="minorEastAsia"/>
          <w:color w:val="auto"/>
          <w:szCs w:val="28"/>
          <w:vertAlign w:val="superscript"/>
          <w:lang w:val="en-US" w:eastAsia="zh-CN"/>
        </w:rPr>
        <w:t>2</w:t>
      </w:r>
      <w:r>
        <w:rPr>
          <w:rFonts w:hint="eastAsia" w:ascii="Times New Roman" w:hAnsi="Times New Roman" w:cs="Times New Roman" w:eastAsiaTheme="minorEastAsia"/>
          <w:color w:val="auto"/>
          <w:szCs w:val="28"/>
          <w:lang w:val="en-US" w:eastAsia="zh-CN"/>
        </w:rPr>
        <w:t>。园区主导产业为电子信息、新材料、农副产品加工。</w:t>
      </w:r>
    </w:p>
    <w:p>
      <w:pPr>
        <w:keepNext w:val="0"/>
        <w:keepLines w:val="0"/>
        <w:widowControl/>
        <w:suppressLineNumbers w:val="0"/>
        <w:ind w:firstLine="560" w:firstLineChars="200"/>
        <w:jc w:val="left"/>
        <w:rPr>
          <w:rFonts w:hint="eastAsia" w:ascii="Times New Roman" w:hAnsi="Times New Roman" w:cs="Times New Roman" w:eastAsiaTheme="minorEastAsia"/>
          <w:color w:val="auto"/>
          <w:szCs w:val="28"/>
          <w:lang w:val="en-US" w:eastAsia="zh-CN"/>
        </w:rPr>
      </w:pPr>
      <w:r>
        <w:rPr>
          <w:rFonts w:hint="eastAsia" w:ascii="Times New Roman" w:hAnsi="Times New Roman" w:cs="Times New Roman" w:eastAsiaTheme="minorEastAsia"/>
          <w:color w:val="auto"/>
          <w:szCs w:val="28"/>
          <w:lang w:val="en-US" w:eastAsia="zh-CN"/>
        </w:rPr>
        <w:t>2021年，园区扎实推进基础设施建设，全面完成固投任务20亿元。加快重点项目建设，一是中建奇配项目，完成厂房、办公楼等整修及道路建设，完成投资1.5亿元，建成4条成品支架生产线。二是沅陵大曲完成高梁基地建设1.5万亩，完成投资0.3亿元。三是埃姆斯果汁加工项目，实施厂房整修（面积约1万平方米）、道路建设及办公楼美化亮化，购置部分生产设备，完成投资0.3亿元；四是产业开发区标准化厂房项目，完成了4栋厂房基础工程和11栋厂房的桩基工程，完成投资0.25亿元。五是完成了约600米的主干道道板铺装及部分管网建设，完成投资0.05亿元。</w:t>
      </w:r>
    </w:p>
    <w:p>
      <w:pPr>
        <w:keepNext w:val="0"/>
        <w:keepLines w:val="0"/>
        <w:widowControl/>
        <w:suppressLineNumbers w:val="0"/>
        <w:ind w:firstLine="560" w:firstLineChars="200"/>
        <w:jc w:val="left"/>
        <w:rPr>
          <w:rFonts w:hint="eastAsia" w:ascii="Times New Roman" w:hAnsi="Times New Roman" w:cs="Times New Roman" w:eastAsiaTheme="minorEastAsia"/>
          <w:color w:val="auto"/>
          <w:szCs w:val="28"/>
          <w:lang w:val="en-US" w:eastAsia="zh-CN"/>
        </w:rPr>
      </w:pPr>
      <w:r>
        <w:rPr>
          <w:rFonts w:hint="eastAsia" w:ascii="Times New Roman" w:hAnsi="Times New Roman" w:cs="Times New Roman" w:eastAsiaTheme="minorEastAsia"/>
          <w:color w:val="auto"/>
          <w:szCs w:val="28"/>
          <w:lang w:val="en-US" w:eastAsia="zh-CN"/>
        </w:rPr>
        <w:t>2021年，园区共引进产业项目3个，合同资金15.6亿元，其中外资项目1个，合同资金6.5亿元。实现技工贸收入20.5亿元，比去年增长54.1%；工业产值17亿元，其中规模工业产值9.3亿元，比去年增长12%；台资企业产值9.1亿元，比去年增长13.8%；规模工业增加值2.8亿元，比去年增长12%；建成标准化厂房3.5万平方米；实现税收1.3亿元；安排就业4000余人。</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截止到2021年底，园区已入园企业数量15个，其中，上一年度末已入园企业数量13个，本年度内新入园企业数量3个，本年度清退企业1个，园区辖区内现有生产企业共11家（其他企业还在办理相关前期手续，未正式投产）。</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园区辖区内已完成环评批复手续企业数量</w:t>
      </w:r>
      <w:r>
        <w:rPr>
          <w:rFonts w:hint="eastAsia" w:ascii="Times New Roman" w:hAnsi="Times New Roman" w:cs="Times New Roman" w:eastAsiaTheme="minorEastAsia"/>
          <w:color w:val="auto"/>
          <w:kern w:val="2"/>
          <w:sz w:val="28"/>
          <w:szCs w:val="28"/>
          <w:lang w:val="en-US" w:eastAsia="zh-CN" w:bidi="ar-SA"/>
        </w:rPr>
        <w:t>10</w:t>
      </w:r>
      <w:r>
        <w:rPr>
          <w:rFonts w:hint="eastAsia" w:ascii="Times New Roman" w:hAnsi="Times New Roman" w:cs="Times New Roman" w:eastAsiaTheme="minorEastAsia"/>
          <w:color w:val="auto"/>
          <w:kern w:val="2"/>
          <w:sz w:val="28"/>
          <w:szCs w:val="28"/>
          <w:lang w:val="en-US" w:eastAsia="zh-CN" w:bidi="ar-SA"/>
        </w:rPr>
        <w:t>个，1个企业无需办理环评手续。本年度新增项目环评批复</w:t>
      </w:r>
      <w:r>
        <w:rPr>
          <w:rFonts w:hint="eastAsia" w:ascii="Times New Roman" w:hAnsi="Times New Roman" w:cs="Times New Roman" w:eastAsiaTheme="minorEastAsia"/>
          <w:color w:val="auto"/>
          <w:kern w:val="2"/>
          <w:sz w:val="28"/>
          <w:szCs w:val="28"/>
          <w:lang w:val="en-US" w:eastAsia="zh-CN" w:bidi="ar-SA"/>
        </w:rPr>
        <w:t>0</w:t>
      </w:r>
      <w:r>
        <w:rPr>
          <w:rFonts w:hint="eastAsia" w:ascii="Times New Roman" w:hAnsi="Times New Roman" w:cs="Times New Roman" w:eastAsiaTheme="minorEastAsia"/>
          <w:color w:val="auto"/>
          <w:kern w:val="2"/>
          <w:sz w:val="28"/>
          <w:szCs w:val="28"/>
          <w:lang w:val="en-US" w:eastAsia="zh-CN" w:bidi="ar-SA"/>
        </w:rPr>
        <w:t>个，无环评批复的企业有</w:t>
      </w:r>
      <w:r>
        <w:rPr>
          <w:rFonts w:hint="eastAsia" w:ascii="Times New Roman" w:hAnsi="Times New Roman" w:cs="Times New Roman" w:eastAsiaTheme="minorEastAsia"/>
          <w:color w:val="auto"/>
          <w:kern w:val="2"/>
          <w:sz w:val="28"/>
          <w:szCs w:val="28"/>
          <w:lang w:val="en-US" w:eastAsia="zh-CN" w:bidi="ar-SA"/>
        </w:rPr>
        <w:t>4</w:t>
      </w:r>
      <w:r>
        <w:rPr>
          <w:rFonts w:hint="eastAsia" w:ascii="Times New Roman" w:hAnsi="Times New Roman" w:cs="Times New Roman" w:eastAsiaTheme="minorEastAsia"/>
          <w:color w:val="auto"/>
          <w:kern w:val="2"/>
          <w:sz w:val="28"/>
          <w:szCs w:val="28"/>
          <w:lang w:val="en-US" w:eastAsia="zh-CN" w:bidi="ar-SA"/>
        </w:rPr>
        <w:t>家（均在办理环评手续之中）。</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园区辖区内已完成环保竣工验收手续企业数量6个，1家无需办理验收手续，本年度新增环保竣工验收企业数量0个，未完成竣工验收的有8家（其中</w:t>
      </w:r>
      <w:r>
        <w:rPr>
          <w:rFonts w:hint="eastAsia" w:ascii="Times New Roman" w:hAnsi="Times New Roman" w:cs="Times New Roman" w:eastAsiaTheme="minorEastAsia"/>
          <w:color w:val="auto"/>
          <w:kern w:val="2"/>
          <w:sz w:val="28"/>
          <w:szCs w:val="28"/>
          <w:lang w:val="en-US" w:eastAsia="zh-CN" w:bidi="ar-SA"/>
        </w:rPr>
        <w:t>5</w:t>
      </w:r>
      <w:r>
        <w:rPr>
          <w:rFonts w:hint="eastAsia" w:ascii="Times New Roman" w:hAnsi="Times New Roman" w:cs="Times New Roman" w:eastAsiaTheme="minorEastAsia"/>
          <w:color w:val="auto"/>
          <w:kern w:val="2"/>
          <w:sz w:val="28"/>
          <w:szCs w:val="28"/>
          <w:lang w:val="en-US" w:eastAsia="zh-CN" w:bidi="ar-SA"/>
        </w:rPr>
        <w:t>家企业尚未办理环保竣工验收手续，</w:t>
      </w:r>
      <w:r>
        <w:rPr>
          <w:rFonts w:hint="eastAsia" w:ascii="Times New Roman" w:hAnsi="Times New Roman" w:cs="Times New Roman" w:eastAsiaTheme="minorEastAsia"/>
          <w:color w:val="auto"/>
          <w:kern w:val="2"/>
          <w:sz w:val="28"/>
          <w:szCs w:val="28"/>
          <w:lang w:val="en-US" w:eastAsia="zh-CN" w:bidi="ar-SA"/>
        </w:rPr>
        <w:t>4</w:t>
      </w:r>
      <w:r>
        <w:rPr>
          <w:rFonts w:hint="eastAsia" w:ascii="Times New Roman" w:hAnsi="Times New Roman" w:cs="Times New Roman" w:eastAsiaTheme="minorEastAsia"/>
          <w:color w:val="auto"/>
          <w:kern w:val="2"/>
          <w:sz w:val="28"/>
          <w:szCs w:val="28"/>
          <w:lang w:val="en-US" w:eastAsia="zh-CN" w:bidi="ar-SA"/>
        </w:rPr>
        <w:t>家正在建设过程中及办理环评手续过程中，未达到竣工环保验收条件）。</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园区内已完成应急预案备案手续企业5家，</w:t>
      </w:r>
      <w:r>
        <w:rPr>
          <w:rFonts w:hint="eastAsia" w:ascii="Times New Roman" w:hAnsi="Times New Roman" w:cs="Times New Roman" w:eastAsiaTheme="minorEastAsia"/>
          <w:color w:val="auto"/>
          <w:kern w:val="2"/>
          <w:sz w:val="28"/>
          <w:szCs w:val="28"/>
          <w:lang w:val="en-US" w:eastAsia="zh-CN" w:bidi="ar-SA"/>
        </w:rPr>
        <w:t>1家企业不需要办理应急预案，</w:t>
      </w:r>
      <w:r>
        <w:rPr>
          <w:rFonts w:hint="eastAsia" w:ascii="Times New Roman" w:hAnsi="Times New Roman" w:cs="Times New Roman" w:eastAsiaTheme="minorEastAsia"/>
          <w:color w:val="auto"/>
          <w:kern w:val="2"/>
          <w:sz w:val="28"/>
          <w:szCs w:val="28"/>
          <w:lang w:val="en-US" w:eastAsia="zh-CN" w:bidi="ar-SA"/>
        </w:rPr>
        <w:t>未完成应急预案备案的企业有9家（其中</w:t>
      </w:r>
      <w:r>
        <w:rPr>
          <w:rFonts w:hint="eastAsia" w:ascii="Times New Roman" w:hAnsi="Times New Roman" w:cs="Times New Roman" w:eastAsiaTheme="minorEastAsia"/>
          <w:color w:val="auto"/>
          <w:kern w:val="2"/>
          <w:sz w:val="28"/>
          <w:szCs w:val="28"/>
          <w:lang w:val="en-US" w:eastAsia="zh-CN" w:bidi="ar-SA"/>
        </w:rPr>
        <w:t>4</w:t>
      </w:r>
      <w:r>
        <w:rPr>
          <w:rFonts w:hint="eastAsia" w:ascii="Times New Roman" w:hAnsi="Times New Roman" w:cs="Times New Roman" w:eastAsiaTheme="minorEastAsia"/>
          <w:color w:val="auto"/>
          <w:kern w:val="2"/>
          <w:sz w:val="28"/>
          <w:szCs w:val="28"/>
          <w:lang w:val="en-US" w:eastAsia="zh-CN" w:bidi="ar-SA"/>
        </w:rPr>
        <w:t>家尚未完成应急预案备案工作，1家正在委托第三方公司编制应急预案，</w:t>
      </w:r>
      <w:r>
        <w:rPr>
          <w:rFonts w:hint="eastAsia" w:ascii="Times New Roman" w:hAnsi="Times New Roman" w:cs="Times New Roman" w:eastAsiaTheme="minorEastAsia"/>
          <w:color w:val="auto"/>
          <w:kern w:val="2"/>
          <w:sz w:val="28"/>
          <w:szCs w:val="28"/>
          <w:lang w:val="en-US" w:eastAsia="zh-CN" w:bidi="ar-SA"/>
        </w:rPr>
        <w:t>4</w:t>
      </w:r>
      <w:r>
        <w:rPr>
          <w:rFonts w:hint="eastAsia" w:ascii="Times New Roman" w:hAnsi="Times New Roman" w:cs="Times New Roman" w:eastAsiaTheme="minorEastAsia"/>
          <w:color w:val="auto"/>
          <w:kern w:val="2"/>
          <w:sz w:val="28"/>
          <w:szCs w:val="28"/>
          <w:lang w:val="en-US" w:eastAsia="zh-CN" w:bidi="ar-SA"/>
        </w:rPr>
        <w:t>家尚未投产建设，尚未明确是否需要编制应急预案）。</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园区内已取得排污许可证企业9家（其中重点管理2家，简化管理7家），1家正在办理排污许可证，尚未办理排污许可证有5家。</w:t>
      </w:r>
    </w:p>
    <w:p>
      <w:pPr>
        <w:pStyle w:val="43"/>
        <w:keepNext w:val="0"/>
        <w:keepLines w:val="0"/>
        <w:pageBreakBefore w:val="0"/>
        <w:widowControl w:val="0"/>
        <w:kinsoku/>
        <w:wordWrap/>
        <w:overflowPunct/>
        <w:topLinePunct w:val="0"/>
        <w:autoSpaceDE/>
        <w:autoSpaceDN/>
        <w:bidi w:val="0"/>
        <w:adjustRightInd/>
        <w:snapToGrid w:val="0"/>
        <w:spacing w:before="0" w:after="0" w:afterLines="0" w:line="360" w:lineRule="auto"/>
        <w:ind w:left="0" w:leftChars="0" w:right="0" w:rightChars="0" w:firstLine="643"/>
        <w:textAlignment w:val="auto"/>
        <w:outlineLvl w:val="9"/>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园区主要污染物总量控制指标：化学需氧量</w:t>
      </w:r>
      <w:r>
        <w:rPr>
          <w:rFonts w:hint="default" w:ascii="Times New Roman" w:hAnsi="Times New Roman" w:cs="Times New Roman"/>
          <w:color w:val="auto"/>
          <w:sz w:val="28"/>
          <w:szCs w:val="28"/>
          <w:lang w:val="en-US" w:eastAsia="zh-CN"/>
        </w:rPr>
        <w:t>≤</w:t>
      </w:r>
      <w:r>
        <w:rPr>
          <w:rFonts w:hint="eastAsia" w:ascii="Times New Roman" w:hAnsi="Times New Roman" w:cs="Times New Roman" w:eastAsiaTheme="minorEastAsia"/>
          <w:color w:val="auto"/>
          <w:kern w:val="2"/>
          <w:sz w:val="28"/>
          <w:szCs w:val="28"/>
          <w:lang w:val="en-US" w:eastAsia="zh-CN" w:bidi="ar-SA"/>
        </w:rPr>
        <w:t>517t/a，二氧化硫</w:t>
      </w:r>
      <w:r>
        <w:rPr>
          <w:rFonts w:hint="default" w:ascii="Times New Roman" w:hAnsi="Times New Roman" w:cs="Times New Roman"/>
          <w:color w:val="auto"/>
          <w:sz w:val="28"/>
          <w:szCs w:val="28"/>
          <w:lang w:val="en-US" w:eastAsia="zh-CN"/>
        </w:rPr>
        <w:t>≤</w:t>
      </w:r>
      <w:r>
        <w:rPr>
          <w:rFonts w:hint="eastAsia" w:ascii="Times New Roman" w:hAnsi="Times New Roman" w:cs="Times New Roman" w:eastAsiaTheme="minorEastAsia"/>
          <w:color w:val="auto"/>
          <w:kern w:val="2"/>
          <w:sz w:val="28"/>
          <w:szCs w:val="28"/>
          <w:lang w:val="en-US" w:eastAsia="zh-CN" w:bidi="ar-SA"/>
        </w:rPr>
        <w:t>200t/a。(原环评批复未进行核算VOCs)</w:t>
      </w:r>
      <w:bookmarkStart w:id="26" w:name="_GoBack"/>
      <w:bookmarkEnd w:id="26"/>
    </w:p>
    <w:p>
      <w:pPr>
        <w:spacing w:line="360" w:lineRule="auto"/>
        <w:outlineLvl w:val="0"/>
        <w:rPr>
          <w:rFonts w:ascii="Times New Roman" w:hAnsi="Times New Roman" w:cs="Times New Roman" w:eastAsiaTheme="minorEastAsia"/>
          <w:b/>
          <w:color w:val="auto"/>
          <w:szCs w:val="32"/>
        </w:rPr>
      </w:pPr>
      <w:bookmarkStart w:id="2" w:name="_Toc68103676"/>
      <w:r>
        <w:rPr>
          <w:rFonts w:ascii="Times New Roman" w:hAnsi="Times New Roman" w:cs="Times New Roman" w:eastAsiaTheme="minorEastAsia"/>
          <w:b/>
          <w:color w:val="auto"/>
          <w:szCs w:val="32"/>
        </w:rPr>
        <w:t>二、环境管理情况</w:t>
      </w:r>
      <w:bookmarkEnd w:id="2"/>
    </w:p>
    <w:p>
      <w:pPr>
        <w:pStyle w:val="17"/>
        <w:snapToGrid w:val="0"/>
        <w:spacing w:after="0" w:line="360" w:lineRule="auto"/>
        <w:ind w:left="0" w:leftChars="0" w:firstLine="562"/>
        <w:outlineLvl w:val="1"/>
        <w:rPr>
          <w:rFonts w:ascii="Times New Roman" w:hAnsi="Times New Roman" w:eastAsiaTheme="minorEastAsia"/>
          <w:b/>
          <w:color w:val="auto"/>
          <w:sz w:val="28"/>
          <w:szCs w:val="32"/>
        </w:rPr>
      </w:pPr>
      <w:bookmarkStart w:id="3" w:name="_Toc68103677"/>
      <w:r>
        <w:rPr>
          <w:rFonts w:ascii="Times New Roman" w:hAnsi="Times New Roman" w:eastAsiaTheme="minorEastAsia"/>
          <w:b/>
          <w:color w:val="auto"/>
          <w:sz w:val="28"/>
          <w:szCs w:val="32"/>
        </w:rPr>
        <w:t>（一）规划环评批复要求落实情况</w:t>
      </w:r>
      <w:bookmarkEnd w:id="3"/>
    </w:p>
    <w:p>
      <w:pPr>
        <w:pStyle w:val="17"/>
        <w:snapToGrid w:val="0"/>
        <w:spacing w:after="0" w:line="360" w:lineRule="auto"/>
        <w:ind w:left="0" w:leftChars="0" w:firstLine="562"/>
        <w:rPr>
          <w:rFonts w:ascii="Times New Roman" w:hAnsi="Times New Roman" w:eastAsiaTheme="minorEastAsia"/>
          <w:b/>
          <w:color w:val="auto"/>
          <w:sz w:val="28"/>
          <w:szCs w:val="28"/>
        </w:rPr>
      </w:pPr>
      <w:r>
        <w:rPr>
          <w:rFonts w:hint="eastAsia" w:ascii="Times New Roman" w:hAnsi="Times New Roman" w:eastAsiaTheme="minorEastAsia"/>
          <w:b/>
          <w:color w:val="auto"/>
          <w:sz w:val="28"/>
          <w:szCs w:val="28"/>
        </w:rPr>
        <w:t>1、规划环评批复要求落实情况</w:t>
      </w:r>
    </w:p>
    <w:p>
      <w:pPr>
        <w:pStyle w:val="17"/>
        <w:snapToGrid w:val="0"/>
        <w:spacing w:after="0" w:line="360" w:lineRule="auto"/>
        <w:ind w:left="0" w:leftChars="0" w:firstLine="560"/>
        <w:rPr>
          <w:rFonts w:ascii="Times New Roman" w:hAnsi="Times New Roman"/>
          <w:color w:val="auto"/>
          <w:sz w:val="28"/>
        </w:rPr>
      </w:pPr>
      <w:r>
        <w:rPr>
          <w:rFonts w:ascii="Times New Roman" w:hAnsi="Times New Roman" w:eastAsiaTheme="minorEastAsia"/>
          <w:color w:val="auto"/>
          <w:sz w:val="28"/>
          <w:szCs w:val="28"/>
        </w:rPr>
        <w:t>201</w:t>
      </w:r>
      <w:r>
        <w:rPr>
          <w:rFonts w:hint="eastAsia" w:ascii="Times New Roman" w:hAnsi="Times New Roman" w:eastAsiaTheme="minorEastAsia"/>
          <w:color w:val="auto"/>
          <w:sz w:val="28"/>
          <w:szCs w:val="28"/>
          <w:lang w:val="en-US" w:eastAsia="zh-CN"/>
        </w:rPr>
        <w:t>1</w:t>
      </w:r>
      <w:r>
        <w:rPr>
          <w:rFonts w:ascii="Times New Roman" w:hAnsi="Times New Roman" w:eastAsiaTheme="minorEastAsia"/>
          <w:color w:val="auto"/>
          <w:sz w:val="28"/>
          <w:szCs w:val="28"/>
        </w:rPr>
        <w:t>年</w:t>
      </w:r>
      <w:r>
        <w:rPr>
          <w:rFonts w:hint="eastAsia" w:ascii="Times New Roman" w:hAnsi="Times New Roman" w:eastAsiaTheme="minorEastAsia"/>
          <w:color w:val="auto"/>
          <w:sz w:val="28"/>
          <w:szCs w:val="28"/>
          <w:lang w:val="en-US" w:eastAsia="zh-CN"/>
        </w:rPr>
        <w:t>1</w:t>
      </w:r>
      <w:r>
        <w:rPr>
          <w:rFonts w:ascii="Times New Roman" w:hAnsi="Times New Roman" w:eastAsiaTheme="minorEastAsia"/>
          <w:color w:val="auto"/>
          <w:sz w:val="28"/>
          <w:szCs w:val="28"/>
        </w:rPr>
        <w:t>月</w:t>
      </w:r>
      <w:r>
        <w:rPr>
          <w:rFonts w:hint="eastAsia" w:ascii="Times New Roman" w:hAnsi="Times New Roman" w:eastAsiaTheme="minorEastAsia"/>
          <w:color w:val="auto"/>
          <w:sz w:val="28"/>
          <w:szCs w:val="28"/>
          <w:lang w:val="en-US" w:eastAsia="zh-CN"/>
        </w:rPr>
        <w:t>6</w:t>
      </w:r>
      <w:r>
        <w:rPr>
          <w:rFonts w:ascii="Times New Roman" w:hAnsi="Times New Roman" w:eastAsiaTheme="minorEastAsia"/>
          <w:color w:val="auto"/>
          <w:sz w:val="28"/>
          <w:szCs w:val="28"/>
        </w:rPr>
        <w:t>日，</w:t>
      </w:r>
      <w:r>
        <w:rPr>
          <w:rFonts w:hint="eastAsia" w:ascii="Times New Roman" w:hAnsi="Times New Roman" w:eastAsiaTheme="minorEastAsia"/>
          <w:color w:val="auto"/>
          <w:sz w:val="28"/>
          <w:szCs w:val="28"/>
        </w:rPr>
        <w:t>原</w:t>
      </w:r>
      <w:r>
        <w:rPr>
          <w:rFonts w:ascii="Times New Roman" w:hAnsi="Times New Roman" w:eastAsiaTheme="minorEastAsia"/>
          <w:color w:val="auto"/>
          <w:sz w:val="28"/>
          <w:szCs w:val="28"/>
        </w:rPr>
        <w:t>湖南省</w:t>
      </w:r>
      <w:r>
        <w:rPr>
          <w:rFonts w:ascii="Times New Roman" w:hAnsi="Times New Roman"/>
          <w:color w:val="auto"/>
          <w:sz w:val="28"/>
        </w:rPr>
        <w:t>环境保护厅</w:t>
      </w:r>
      <w:r>
        <w:rPr>
          <w:rFonts w:hint="eastAsia" w:ascii="Times New Roman" w:hAnsi="Times New Roman"/>
          <w:color w:val="auto"/>
          <w:sz w:val="28"/>
        </w:rPr>
        <w:t>出具了</w:t>
      </w:r>
      <w:r>
        <w:rPr>
          <w:rFonts w:ascii="Times New Roman" w:hAnsi="Times New Roman"/>
          <w:color w:val="auto"/>
          <w:sz w:val="28"/>
        </w:rPr>
        <w:t>关于</w:t>
      </w:r>
      <w:r>
        <w:rPr>
          <w:rFonts w:hint="eastAsia"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湖南</w:t>
      </w:r>
      <w:r>
        <w:rPr>
          <w:rFonts w:hint="default" w:ascii="Times New Roman" w:hAnsi="Times New Roman" w:cs="Times New Roman" w:eastAsiaTheme="minorEastAsia"/>
          <w:color w:val="auto"/>
          <w:sz w:val="28"/>
          <w:szCs w:val="28"/>
          <w:lang w:val="en-US" w:eastAsia="zh-CN"/>
        </w:rPr>
        <w:t>沅陵新能源新材料产业园</w:t>
      </w:r>
      <w:r>
        <w:rPr>
          <w:rFonts w:hint="default" w:ascii="Times New Roman" w:hAnsi="Times New Roman" w:cs="Times New Roman" w:eastAsiaTheme="minorEastAsia"/>
          <w:color w:val="auto"/>
          <w:sz w:val="28"/>
          <w:szCs w:val="28"/>
        </w:rPr>
        <w:t>项目环境影响报告书</w:t>
      </w:r>
      <w:r>
        <w:rPr>
          <w:rFonts w:hint="eastAsia" w:ascii="Times New Roman" w:hAnsi="Times New Roman" w:cs="Times New Roman" w:eastAsiaTheme="minorEastAsia"/>
          <w:color w:val="auto"/>
          <w:sz w:val="28"/>
          <w:szCs w:val="28"/>
          <w:lang w:eastAsia="zh-CN"/>
        </w:rPr>
        <w:t>》</w:t>
      </w:r>
      <w:r>
        <w:rPr>
          <w:rFonts w:ascii="Times New Roman" w:hAnsi="Times New Roman"/>
          <w:color w:val="auto"/>
          <w:sz w:val="28"/>
        </w:rPr>
        <w:t>批复的函</w:t>
      </w:r>
      <w:r>
        <w:rPr>
          <w:rFonts w:hint="eastAsia" w:ascii="Times New Roman" w:hAnsi="Times New Roman"/>
          <w:color w:val="auto"/>
          <w:sz w:val="28"/>
        </w:rPr>
        <w:t>（</w:t>
      </w:r>
      <w:r>
        <w:rPr>
          <w:rFonts w:ascii="Times New Roman" w:hAnsi="Times New Roman" w:eastAsiaTheme="minorEastAsia"/>
          <w:color w:val="auto"/>
          <w:sz w:val="28"/>
          <w:szCs w:val="28"/>
        </w:rPr>
        <w:t>湘环评〔201</w:t>
      </w:r>
      <w:r>
        <w:rPr>
          <w:rFonts w:hint="eastAsia" w:ascii="Times New Roman" w:hAnsi="Times New Roman" w:eastAsiaTheme="minorEastAsia"/>
          <w:color w:val="auto"/>
          <w:sz w:val="28"/>
          <w:szCs w:val="28"/>
          <w:lang w:val="en-US" w:eastAsia="zh-CN"/>
        </w:rPr>
        <w:t>1</w:t>
      </w:r>
      <w:r>
        <w:rPr>
          <w:rFonts w:ascii="Times New Roman" w:hAnsi="Times New Roman" w:eastAsiaTheme="minorEastAsia"/>
          <w:color w:val="auto"/>
          <w:sz w:val="28"/>
          <w:szCs w:val="28"/>
        </w:rPr>
        <w:t>〕</w:t>
      </w:r>
      <w:r>
        <w:rPr>
          <w:rFonts w:hint="eastAsia" w:ascii="Times New Roman" w:hAnsi="Times New Roman" w:eastAsiaTheme="minorEastAsia"/>
          <w:color w:val="auto"/>
          <w:sz w:val="28"/>
          <w:szCs w:val="28"/>
          <w:lang w:val="en-US" w:eastAsia="zh-CN"/>
        </w:rPr>
        <w:t>5</w:t>
      </w:r>
      <w:r>
        <w:rPr>
          <w:rFonts w:ascii="Times New Roman" w:hAnsi="Times New Roman" w:eastAsiaTheme="minorEastAsia"/>
          <w:color w:val="auto"/>
          <w:sz w:val="28"/>
          <w:szCs w:val="28"/>
        </w:rPr>
        <w:t>号），</w:t>
      </w:r>
      <w:r>
        <w:rPr>
          <w:rFonts w:hint="eastAsia" w:ascii="Times New Roman" w:hAnsi="Times New Roman" w:eastAsiaTheme="minorEastAsia"/>
          <w:color w:val="auto"/>
          <w:sz w:val="28"/>
          <w:szCs w:val="28"/>
        </w:rPr>
        <w:t>根据该批复文件，园区具体落实情况见下表。</w:t>
      </w:r>
    </w:p>
    <w:p>
      <w:pPr>
        <w:jc w:val="center"/>
        <w:rPr>
          <w:rFonts w:ascii="Times New Roman" w:hAnsi="Times New Roman" w:cs="Times New Roman" w:eastAsiaTheme="minorEastAsia"/>
          <w:b/>
          <w:color w:val="auto"/>
          <w:sz w:val="22"/>
          <w:szCs w:val="21"/>
        </w:rPr>
      </w:pPr>
      <w:r>
        <w:rPr>
          <w:rFonts w:hint="eastAsia" w:ascii="Times New Roman" w:hAnsi="Times New Roman" w:cs="Times New Roman" w:eastAsiaTheme="minorEastAsia"/>
          <w:b/>
          <w:color w:val="auto"/>
          <w:sz w:val="22"/>
          <w:szCs w:val="21"/>
        </w:rPr>
        <w:t xml:space="preserve">表1 </w:t>
      </w:r>
      <w:r>
        <w:rPr>
          <w:rFonts w:ascii="Times New Roman" w:hAnsi="Times New Roman" w:cs="Times New Roman" w:eastAsiaTheme="minorEastAsia"/>
          <w:b/>
          <w:color w:val="auto"/>
          <w:sz w:val="22"/>
          <w:szCs w:val="21"/>
        </w:rPr>
        <w:t>湘环评〔20</w:t>
      </w:r>
      <w:r>
        <w:rPr>
          <w:rFonts w:hint="eastAsia" w:ascii="Times New Roman" w:hAnsi="Times New Roman" w:cs="Times New Roman" w:eastAsiaTheme="minorEastAsia"/>
          <w:b/>
          <w:color w:val="auto"/>
          <w:sz w:val="22"/>
          <w:szCs w:val="21"/>
          <w:lang w:val="en-US" w:eastAsia="zh-CN"/>
        </w:rPr>
        <w:t>11</w:t>
      </w:r>
      <w:r>
        <w:rPr>
          <w:rFonts w:ascii="Times New Roman" w:hAnsi="Times New Roman" w:cs="Times New Roman" w:eastAsiaTheme="minorEastAsia"/>
          <w:b/>
          <w:color w:val="auto"/>
          <w:sz w:val="22"/>
          <w:szCs w:val="21"/>
        </w:rPr>
        <w:t>〕</w:t>
      </w:r>
      <w:r>
        <w:rPr>
          <w:rFonts w:hint="eastAsia" w:ascii="Times New Roman" w:hAnsi="Times New Roman" w:cs="Times New Roman" w:eastAsiaTheme="minorEastAsia"/>
          <w:b/>
          <w:color w:val="auto"/>
          <w:sz w:val="22"/>
          <w:szCs w:val="21"/>
          <w:lang w:val="en-US" w:eastAsia="zh-CN"/>
        </w:rPr>
        <w:t>5</w:t>
      </w:r>
      <w:r>
        <w:rPr>
          <w:rFonts w:ascii="Times New Roman" w:hAnsi="Times New Roman" w:cs="Times New Roman" w:eastAsiaTheme="minorEastAsia"/>
          <w:b/>
          <w:color w:val="auto"/>
          <w:sz w:val="22"/>
          <w:szCs w:val="21"/>
        </w:rPr>
        <w:t>号文要点及其执行情况一览表</w:t>
      </w:r>
    </w:p>
    <w:tbl>
      <w:tblPr>
        <w:tblStyle w:val="18"/>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3260"/>
        <w:gridCol w:w="3546"/>
        <w:gridCol w:w="75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序号</w:t>
            </w:r>
          </w:p>
        </w:tc>
        <w:tc>
          <w:tcPr>
            <w:tcW w:w="1912" w:type="pc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规划及环评要求</w:t>
            </w:r>
          </w:p>
        </w:tc>
        <w:tc>
          <w:tcPr>
            <w:tcW w:w="2080" w:type="pc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实际建设情况</w:t>
            </w:r>
          </w:p>
        </w:tc>
        <w:tc>
          <w:tcPr>
            <w:tcW w:w="444" w:type="pc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是否</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落实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pct"/>
            <w:vAlign w:val="center"/>
          </w:tcPr>
          <w:p>
            <w:pP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1、进一步优化规划布局</w:t>
            </w:r>
          </w:p>
        </w:tc>
        <w:tc>
          <w:tcPr>
            <w:tcW w:w="3260"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做好园区规划布局，园区自东北向西南依次布置新能源新材料产业区、综合服务区、农副食品加工区，严格按照功能区划进行开发建设、园区内不设居住用地，确保功能区划明确、产业相对集中、生态环境优良。</w:t>
            </w:r>
          </w:p>
        </w:tc>
        <w:tc>
          <w:tcPr>
            <w:tcW w:w="3546" w:type="dxa"/>
            <w:vAlign w:val="center"/>
          </w:tcPr>
          <w:p>
            <w:pP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1</w:t>
            </w:r>
            <w:r>
              <w:rPr>
                <w:rFonts w:hint="eastAsia" w:ascii="Times New Roman" w:hAnsi="Times New Roman" w:cs="Times New Roman" w:eastAsiaTheme="minorEastAsia"/>
                <w:color w:val="auto"/>
                <w:sz w:val="21"/>
                <w:szCs w:val="21"/>
                <w:lang w:val="en-US" w:eastAsia="zh-CN"/>
              </w:rPr>
              <w:t>）园区东北面为新材料新能源产业园，主要分布有沅陵辰州磁电高科有限公司、沅陵县向华电子科技有限公司、沅陵县沅陵大曲酒业有限公司等企业，园区南部分布为农副食品加工区，主要企业为沅陵县五溪食品有限责任公司和</w:t>
            </w:r>
            <w:r>
              <w:rPr>
                <w:rFonts w:hint="default" w:ascii="Times New Roman" w:hAnsi="Times New Roman" w:cs="Times New Roman" w:eastAsiaTheme="minorEastAsia"/>
                <w:color w:val="auto"/>
                <w:sz w:val="21"/>
                <w:szCs w:val="21"/>
                <w:lang w:val="en-US" w:eastAsia="zh-CN"/>
              </w:rPr>
              <w:t>3</w:t>
            </w:r>
            <w:r>
              <w:rPr>
                <w:rFonts w:hint="eastAsia" w:ascii="Times New Roman" w:hAnsi="Times New Roman" w:cs="Times New Roman" w:eastAsiaTheme="minorEastAsia"/>
                <w:color w:val="auto"/>
                <w:sz w:val="21"/>
                <w:szCs w:val="21"/>
                <w:lang w:val="en-US" w:eastAsia="zh-CN"/>
              </w:rPr>
              <w:t>家电子元器件生产企业。（</w:t>
            </w:r>
            <w:r>
              <w:rPr>
                <w:rFonts w:hint="default" w:ascii="Times New Roman" w:hAnsi="Times New Roman" w:cs="Times New Roman" w:eastAsiaTheme="minorEastAsia"/>
                <w:color w:val="auto"/>
                <w:sz w:val="21"/>
                <w:szCs w:val="21"/>
                <w:lang w:val="en-US" w:eastAsia="zh-CN"/>
              </w:rPr>
              <w:t>2</w:t>
            </w:r>
            <w:r>
              <w:rPr>
                <w:rFonts w:hint="eastAsia" w:ascii="Times New Roman" w:hAnsi="Times New Roman" w:cs="Times New Roman" w:eastAsiaTheme="minorEastAsia"/>
                <w:color w:val="auto"/>
                <w:sz w:val="21"/>
                <w:szCs w:val="21"/>
                <w:lang w:val="en-US" w:eastAsia="zh-CN"/>
              </w:rPr>
              <w:t>）目前园区未开发综合服务区；（</w:t>
            </w:r>
            <w:r>
              <w:rPr>
                <w:rFonts w:hint="default" w:ascii="Times New Roman" w:hAnsi="Times New Roman" w:cs="Times New Roman" w:eastAsiaTheme="minorEastAsia"/>
                <w:color w:val="auto"/>
                <w:sz w:val="21"/>
                <w:szCs w:val="21"/>
                <w:lang w:val="en-US" w:eastAsia="zh-CN"/>
              </w:rPr>
              <w:t>3</w:t>
            </w:r>
            <w:r>
              <w:rPr>
                <w:rFonts w:hint="eastAsia" w:ascii="Times New Roman" w:hAnsi="Times New Roman" w:cs="Times New Roman" w:eastAsiaTheme="minorEastAsia"/>
                <w:color w:val="auto"/>
                <w:sz w:val="21"/>
                <w:szCs w:val="21"/>
                <w:lang w:val="en-US" w:eastAsia="zh-CN"/>
              </w:rPr>
              <w:t>）园区内不设居住用地，但在实际实施过程中，区内西北面设有高岩安置区、区内东南部设有刘家安置区</w:t>
            </w:r>
          </w:p>
        </w:tc>
        <w:tc>
          <w:tcPr>
            <w:tcW w:w="444" w:type="pct"/>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部分</w:t>
            </w:r>
            <w:r>
              <w:rPr>
                <w:rFonts w:ascii="Times New Roman" w:hAnsi="Times New Roman" w:cs="Times New Roman" w:eastAsiaTheme="minorEastAsia"/>
                <w:color w:val="auto"/>
                <w:sz w:val="21"/>
                <w:szCs w:val="21"/>
              </w:rPr>
              <w:t>落</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2" w:type="pct"/>
            <w:vAlign w:val="center"/>
          </w:tcPr>
          <w:p>
            <w:pP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2、严格执行集中区入园企业准入制度</w:t>
            </w:r>
          </w:p>
        </w:tc>
        <w:tc>
          <w:tcPr>
            <w:tcW w:w="3260"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严格执行入园企业准入制度，入园项目选址必须符合园区总体发展规划、环保规划及工业园主导产业定位要求，不得引进国家明令淘汰和禁止发展的能耗物耗高、㕂污染严重、不符合产业政策的建设项目，防止污染项目转移落户园区，不新建三类工业项目。管委会必须按照报告书提出的项目入园条件控制要求和</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优先、禁止类项目（行业准入名单）</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做好项目的招商把关，在入园项目前期和建设期，必须严格执行建设想缓解影响评价和</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三同时</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制度，其排污浓度、总量必须满足达标排放和总量控制要求，并推行清洁生产工艺，从源头防治污染。</w:t>
            </w:r>
          </w:p>
        </w:tc>
        <w:tc>
          <w:tcPr>
            <w:tcW w:w="3546"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园区在引进项目的过程中，执行了入园企业准入制度，入园项目选址均符合园区总体发展规划、环保规划及工业园主导产业定位要求；管委会按照报告书提出的项目入园条件控制要求和</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优先、禁止类项目（行</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业）准入名单</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做好项目的招商把关；园区未引进国家明令淘汰和禁止发展的能耗高、环境污染严重、不符合产业政策的建设项目，未新建三类工业项目；根据怀化市政府及相关部门意见严格限制排水量大及以水型污染为特征的企业进入；在入园项目前期和建设期，园区管委会要求入园企业严格执行建设项目环境影响评价和</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三同时</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管理制度，推行清洁生产工艺；</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目前各入园企业排污浓度、总量均满足达标排放和总量控制要求</w:t>
            </w:r>
          </w:p>
        </w:tc>
        <w:tc>
          <w:tcPr>
            <w:tcW w:w="444" w:type="pct"/>
            <w:vAlign w:val="center"/>
          </w:tcPr>
          <w:p>
            <w:pPr>
              <w:jc w:val="center"/>
              <w:rPr>
                <w:rFonts w:ascii="Times New Roman" w:hAnsi="Times New Roman" w:cs="Times New Roman" w:eastAsiaTheme="minorEastAsia"/>
                <w:color w:val="auto"/>
                <w:sz w:val="21"/>
                <w:szCs w:val="21"/>
              </w:rPr>
            </w:pPr>
          </w:p>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已</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落</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62" w:type="pct"/>
            <w:vAlign w:val="center"/>
          </w:tcPr>
          <w:p>
            <w:pP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3、落实集中区水污染控制措施</w:t>
            </w:r>
          </w:p>
        </w:tc>
        <w:tc>
          <w:tcPr>
            <w:tcW w:w="3260"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按雨污分流制建设园区排水管网，加快园区污水处理厂等配套基础设施建设进度，截污、排污管网必须与道路建设及区域开发同步进行，保障园区污水顺利进入污水集中处理厂，园区污水处理厂应兼顾邻近凉水井集镇区生活污水处理，按照报告书要求将其近期规模调整至</w:t>
            </w:r>
            <w:r>
              <w:rPr>
                <w:rFonts w:hint="default" w:ascii="Times New Roman" w:hAnsi="Times New Roman" w:cs="Times New Roman" w:eastAsiaTheme="minorEastAsia"/>
                <w:color w:val="auto"/>
                <w:sz w:val="21"/>
                <w:szCs w:val="21"/>
                <w:lang w:val="en-US" w:eastAsia="zh-CN"/>
              </w:rPr>
              <w:t>1.5</w:t>
            </w:r>
            <w:r>
              <w:rPr>
                <w:rFonts w:hint="eastAsia" w:ascii="Times New Roman" w:hAnsi="Times New Roman" w:cs="Times New Roman" w:eastAsiaTheme="minorEastAsia"/>
                <w:color w:val="auto"/>
                <w:sz w:val="21"/>
                <w:szCs w:val="21"/>
                <w:lang w:val="en-US" w:eastAsia="zh-CN"/>
              </w:rPr>
              <w:t>万</w:t>
            </w:r>
            <w:r>
              <w:rPr>
                <w:rFonts w:hint="default" w:ascii="Times New Roman" w:hAnsi="Times New Roman" w:cs="Times New Roman" w:eastAsiaTheme="minorEastAsia"/>
                <w:color w:val="auto"/>
                <w:sz w:val="21"/>
                <w:szCs w:val="21"/>
                <w:lang w:val="en-US" w:eastAsia="zh-CN"/>
              </w:rPr>
              <w:t>m</w:t>
            </w:r>
            <w:r>
              <w:rPr>
                <w:rFonts w:hint="eastAsia"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lang w:val="en-US" w:eastAsia="zh-CN"/>
              </w:rPr>
              <w:t>/d</w:t>
            </w:r>
            <w:r>
              <w:rPr>
                <w:rFonts w:hint="eastAsia" w:ascii="Times New Roman" w:hAnsi="Times New Roman" w:cs="Times New Roman" w:eastAsiaTheme="minorEastAsia"/>
                <w:color w:val="auto"/>
                <w:sz w:val="21"/>
                <w:szCs w:val="21"/>
                <w:lang w:val="en-US" w:eastAsia="zh-CN"/>
              </w:rPr>
              <w:t>以上；污水处理厂具体选址、规模、工艺等必须另行环评确定。园区污水处理厂建成前，入园企业外排废水必须自行处理达到《污水综合排放标准》（</w:t>
            </w:r>
            <w:r>
              <w:rPr>
                <w:rFonts w:hint="default" w:ascii="Times New Roman" w:hAnsi="Times New Roman" w:cs="Times New Roman" w:eastAsiaTheme="minorEastAsia"/>
                <w:color w:val="auto"/>
                <w:sz w:val="21"/>
                <w:szCs w:val="21"/>
                <w:lang w:val="en-US" w:eastAsia="zh-CN"/>
              </w:rPr>
              <w:t>GB8978-1996</w:t>
            </w:r>
            <w:r>
              <w:rPr>
                <w:rFonts w:hint="eastAsia" w:ascii="Times New Roman" w:hAnsi="Times New Roman" w:cs="Times New Roman" w:eastAsiaTheme="minorEastAsia"/>
                <w:color w:val="auto"/>
                <w:sz w:val="21"/>
                <w:szCs w:val="21"/>
                <w:lang w:val="en-US" w:eastAsia="zh-CN"/>
              </w:rPr>
              <w:t>）一级标准；污水处理厂建成运营后，园区各企业单位废水必须进行处理满足污水处理厂进水水质要求后，通过污水管网集中送至园区污水处理厂深度处理后排入蓝溪河；一类污染物在企业车间排放口达标。</w:t>
            </w:r>
          </w:p>
        </w:tc>
        <w:tc>
          <w:tcPr>
            <w:tcW w:w="3546"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沅陵产业开发区由于园区开发程度不高，污水处理站设计建设规模较小。目前园区建有集中污水处理厂</w:t>
            </w:r>
            <w:r>
              <w:rPr>
                <w:rFonts w:hint="default" w:ascii="Times New Roman" w:hAnsi="Times New Roman" w:cs="Times New Roman" w:eastAsiaTheme="minorEastAsia"/>
                <w:color w:val="auto"/>
                <w:sz w:val="21"/>
                <w:szCs w:val="21"/>
                <w:lang w:val="en-US" w:eastAsia="zh-CN"/>
              </w:rPr>
              <w:t xml:space="preserve"> 1 </w:t>
            </w:r>
            <w:r>
              <w:rPr>
                <w:rFonts w:hint="eastAsia" w:ascii="Times New Roman" w:hAnsi="Times New Roman" w:cs="Times New Roman" w:eastAsiaTheme="minorEastAsia"/>
                <w:color w:val="auto"/>
                <w:sz w:val="21"/>
                <w:szCs w:val="21"/>
                <w:lang w:val="en-US" w:eastAsia="zh-CN"/>
              </w:rPr>
              <w:t>座及污水收集管网</w:t>
            </w:r>
            <w:r>
              <w:rPr>
                <w:rFonts w:hint="default" w:ascii="Times New Roman" w:hAnsi="Times New Roman" w:cs="Times New Roman" w:eastAsiaTheme="minorEastAsia"/>
                <w:color w:val="auto"/>
                <w:sz w:val="21"/>
                <w:szCs w:val="21"/>
                <w:lang w:val="en-US" w:eastAsia="zh-CN"/>
              </w:rPr>
              <w:t xml:space="preserve"> 5.67 </w:t>
            </w:r>
            <w:r>
              <w:rPr>
                <w:rFonts w:hint="eastAsia" w:ascii="Times New Roman" w:hAnsi="Times New Roman" w:cs="Times New Roman" w:eastAsiaTheme="minorEastAsia"/>
                <w:color w:val="auto"/>
                <w:sz w:val="21"/>
                <w:szCs w:val="21"/>
                <w:lang w:val="en-US" w:eastAsia="zh-CN"/>
              </w:rPr>
              <w:t>公里，污水处理设施设计总规模为</w:t>
            </w:r>
            <w:r>
              <w:rPr>
                <w:rFonts w:hint="default" w:ascii="Times New Roman" w:hAnsi="Times New Roman" w:cs="Times New Roman" w:eastAsiaTheme="minorEastAsia"/>
                <w:color w:val="auto"/>
                <w:sz w:val="21"/>
                <w:szCs w:val="21"/>
                <w:lang w:val="en-US" w:eastAsia="zh-CN"/>
              </w:rPr>
              <w:t xml:space="preserve"> 3000 </w:t>
            </w:r>
            <w:r>
              <w:rPr>
                <w:rFonts w:hint="eastAsia" w:ascii="Times New Roman" w:hAnsi="Times New Roman" w:cs="Times New Roman" w:eastAsiaTheme="minorEastAsia"/>
                <w:color w:val="auto"/>
                <w:sz w:val="21"/>
                <w:szCs w:val="21"/>
                <w:lang w:val="en-US" w:eastAsia="zh-CN"/>
              </w:rPr>
              <w:t>吨</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天，已建成</w:t>
            </w:r>
            <w:r>
              <w:rPr>
                <w:rFonts w:hint="default" w:ascii="Times New Roman" w:hAnsi="Times New Roman" w:cs="Times New Roman" w:eastAsiaTheme="minorEastAsia"/>
                <w:color w:val="auto"/>
                <w:sz w:val="21"/>
                <w:szCs w:val="21"/>
                <w:lang w:val="en-US" w:eastAsia="zh-CN"/>
              </w:rPr>
              <w:t xml:space="preserve"> 1500 </w:t>
            </w:r>
            <w:r>
              <w:rPr>
                <w:rFonts w:hint="eastAsia" w:ascii="Times New Roman" w:hAnsi="Times New Roman" w:cs="Times New Roman" w:eastAsiaTheme="minorEastAsia"/>
                <w:color w:val="auto"/>
                <w:sz w:val="21"/>
                <w:szCs w:val="21"/>
                <w:lang w:val="en-US" w:eastAsia="zh-CN"/>
              </w:rPr>
              <w:t>吨</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天。其中一期建成规模</w:t>
            </w:r>
            <w:r>
              <w:rPr>
                <w:rFonts w:hint="default" w:ascii="Times New Roman" w:hAnsi="Times New Roman" w:cs="Times New Roman" w:eastAsiaTheme="minorEastAsia"/>
                <w:color w:val="auto"/>
                <w:sz w:val="21"/>
                <w:szCs w:val="21"/>
                <w:lang w:val="en-US" w:eastAsia="zh-CN"/>
              </w:rPr>
              <w:t xml:space="preserve"> 500 </w:t>
            </w:r>
            <w:r>
              <w:rPr>
                <w:rFonts w:hint="eastAsia" w:ascii="Times New Roman" w:hAnsi="Times New Roman" w:cs="Times New Roman" w:eastAsiaTheme="minorEastAsia"/>
                <w:color w:val="auto"/>
                <w:sz w:val="21"/>
                <w:szCs w:val="21"/>
                <w:lang w:val="en-US" w:eastAsia="zh-CN"/>
              </w:rPr>
              <w:t>吨</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天，一期工程一期工程处理工艺为</w:t>
            </w:r>
            <w:r>
              <w:rPr>
                <w:rFonts w:hint="default" w:ascii="Times New Roman" w:hAnsi="Times New Roman" w:cs="Times New Roman" w:eastAsiaTheme="minorEastAsia"/>
                <w:color w:val="auto"/>
                <w:sz w:val="21"/>
                <w:szCs w:val="21"/>
                <w:lang w:val="en-US" w:eastAsia="zh-CN"/>
              </w:rPr>
              <w:t xml:space="preserve"> FMBR </w:t>
            </w:r>
            <w:r>
              <w:rPr>
                <w:rFonts w:hint="eastAsia" w:ascii="Times New Roman" w:hAnsi="Times New Roman" w:cs="Times New Roman" w:eastAsiaTheme="minorEastAsia"/>
                <w:color w:val="auto"/>
                <w:sz w:val="21"/>
                <w:szCs w:val="21"/>
                <w:lang w:val="en-US" w:eastAsia="zh-CN"/>
              </w:rPr>
              <w:t>兼氧膜技术工艺。二期建成规模</w:t>
            </w:r>
            <w:r>
              <w:rPr>
                <w:rFonts w:hint="default" w:ascii="Times New Roman" w:hAnsi="Times New Roman" w:cs="Times New Roman" w:eastAsiaTheme="minorEastAsia"/>
                <w:color w:val="auto"/>
                <w:sz w:val="21"/>
                <w:szCs w:val="21"/>
                <w:lang w:val="en-US" w:eastAsia="zh-CN"/>
              </w:rPr>
              <w:t xml:space="preserve">1000 </w:t>
            </w:r>
            <w:r>
              <w:rPr>
                <w:rFonts w:hint="eastAsia" w:ascii="Times New Roman" w:hAnsi="Times New Roman" w:cs="Times New Roman" w:eastAsiaTheme="minorEastAsia"/>
                <w:color w:val="auto"/>
                <w:sz w:val="21"/>
                <w:szCs w:val="21"/>
                <w:lang w:val="en-US" w:eastAsia="zh-CN"/>
              </w:rPr>
              <w:t>吨</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天，二期工</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程处理工艺为</w:t>
            </w:r>
            <w:r>
              <w:rPr>
                <w:rFonts w:hint="default" w:ascii="Times New Roman" w:hAnsi="Times New Roman" w:cs="Times New Roman" w:eastAsiaTheme="minorEastAsia"/>
                <w:color w:val="auto"/>
                <w:sz w:val="21"/>
                <w:szCs w:val="21"/>
                <w:lang w:val="en-US" w:eastAsia="zh-CN"/>
              </w:rPr>
              <w:t xml:space="preserve"> A</w:t>
            </w:r>
            <w:r>
              <w:rPr>
                <w:rFonts w:hint="eastAsia"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lang w:val="en-US" w:eastAsia="zh-CN"/>
              </w:rPr>
              <w:t xml:space="preserve">O+MBR </w:t>
            </w:r>
            <w:r>
              <w:rPr>
                <w:rFonts w:hint="eastAsia" w:ascii="Times New Roman" w:hAnsi="Times New Roman" w:cs="Times New Roman" w:eastAsiaTheme="minorEastAsia"/>
                <w:color w:val="auto"/>
                <w:sz w:val="21"/>
                <w:szCs w:val="21"/>
                <w:lang w:val="en-US" w:eastAsia="zh-CN"/>
              </w:rPr>
              <w:t>组合工艺。目前园区污水处理设施尾水排入园区西北部小溪再汇入到蓝溪河。园区拟将排口迁改到蓝溪河边，已办理了入河排污口申报手续并获批，污水厂安装了自动在线监控设备并与</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省、市、区生态环境部门</w:t>
            </w:r>
            <w:r>
              <w:rPr>
                <w:rFonts w:hint="default" w:ascii="Times New Roman" w:hAnsi="Times New Roman" w:cs="Times New Roman" w:eastAsiaTheme="minorEastAsia"/>
                <w:color w:val="auto"/>
                <w:sz w:val="21"/>
                <w:szCs w:val="21"/>
                <w:lang w:val="en-US" w:eastAsia="zh-CN"/>
              </w:rPr>
              <w:t xml:space="preserve"> 24</w:t>
            </w:r>
            <w:r>
              <w:rPr>
                <w:rFonts w:hint="eastAsia" w:ascii="Times New Roman" w:hAnsi="Times New Roman" w:cs="Times New Roman" w:eastAsiaTheme="minorEastAsia"/>
                <w:color w:val="auto"/>
                <w:sz w:val="21"/>
                <w:szCs w:val="21"/>
                <w:lang w:val="en-US" w:eastAsia="zh-CN"/>
              </w:rPr>
              <w:t>小时联网。园区各企业单位废水通过污水管网集中送至园区污水处理厂深度处理达到《城镇污水处理厂污染物排放标准》（</w:t>
            </w:r>
            <w:r>
              <w:rPr>
                <w:rFonts w:hint="default" w:ascii="Times New Roman" w:hAnsi="Times New Roman" w:cs="Times New Roman" w:eastAsiaTheme="minorEastAsia"/>
                <w:color w:val="auto"/>
                <w:sz w:val="21"/>
                <w:szCs w:val="21"/>
                <w:lang w:val="en-US" w:eastAsia="zh-CN"/>
              </w:rPr>
              <w:t>GB18918-2002</w:t>
            </w:r>
            <w:r>
              <w:rPr>
                <w:rFonts w:hint="eastAsia" w:ascii="Times New Roman" w:hAnsi="Times New Roman" w:cs="Times New Roman" w:eastAsiaTheme="minorEastAsia"/>
                <w:color w:val="auto"/>
                <w:sz w:val="21"/>
                <w:szCs w:val="21"/>
                <w:lang w:val="en-US" w:eastAsia="zh-CN"/>
              </w:rPr>
              <w:t>）中表</w:t>
            </w:r>
            <w:r>
              <w:rPr>
                <w:rFonts w:hint="default" w:ascii="Times New Roman" w:hAnsi="Times New Roman" w:cs="Times New Roman" w:eastAsiaTheme="minorEastAsia"/>
                <w:color w:val="auto"/>
                <w:sz w:val="21"/>
                <w:szCs w:val="21"/>
                <w:lang w:val="en-US" w:eastAsia="zh-CN"/>
              </w:rPr>
              <w:t>1</w:t>
            </w:r>
            <w:r>
              <w:rPr>
                <w:rFonts w:hint="eastAsia" w:ascii="Times New Roman" w:hAnsi="Times New Roman" w:cs="Times New Roman" w:eastAsiaTheme="minorEastAsia"/>
                <w:color w:val="auto"/>
                <w:sz w:val="21"/>
                <w:szCs w:val="21"/>
                <w:lang w:val="en-US" w:eastAsia="zh-CN"/>
              </w:rPr>
              <w:t>之一级</w:t>
            </w:r>
            <w:r>
              <w:rPr>
                <w:rFonts w:hint="default" w:ascii="Times New Roman" w:hAnsi="Times New Roman" w:cs="Times New Roman" w:eastAsiaTheme="minorEastAsia"/>
                <w:color w:val="auto"/>
                <w:sz w:val="21"/>
                <w:szCs w:val="21"/>
                <w:lang w:val="en-US" w:eastAsia="zh-CN"/>
              </w:rPr>
              <w:t>B</w:t>
            </w:r>
            <w:r>
              <w:rPr>
                <w:rFonts w:hint="eastAsia" w:ascii="Times New Roman" w:hAnsi="Times New Roman" w:cs="Times New Roman" w:eastAsiaTheme="minorEastAsia"/>
                <w:color w:val="auto"/>
                <w:sz w:val="21"/>
                <w:szCs w:val="21"/>
                <w:lang w:val="en-US" w:eastAsia="zh-CN"/>
              </w:rPr>
              <w:t>标准后排入蓝溪河。</w:t>
            </w:r>
            <w:r>
              <w:rPr>
                <w:rFonts w:hint="default" w:ascii="Times New Roman" w:hAnsi="Times New Roman" w:cs="Times New Roman" w:eastAsiaTheme="minorEastAsia"/>
                <w:color w:val="auto"/>
                <w:sz w:val="21"/>
                <w:szCs w:val="21"/>
                <w:lang w:val="en-US" w:eastAsia="zh-CN"/>
              </w:rPr>
              <w:t xml:space="preserve"> </w:t>
            </w:r>
          </w:p>
        </w:tc>
        <w:tc>
          <w:tcPr>
            <w:tcW w:w="444" w:type="pct"/>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基本</w:t>
            </w:r>
            <w:r>
              <w:rPr>
                <w:rFonts w:ascii="Times New Roman" w:hAnsi="Times New Roman" w:cs="Times New Roman" w:eastAsiaTheme="minorEastAsia"/>
                <w:color w:val="auto"/>
                <w:sz w:val="21"/>
                <w:szCs w:val="21"/>
              </w:rPr>
              <w:t>落</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4、按报告书要求做好集中区大气污控制措施</w:t>
            </w:r>
          </w:p>
        </w:tc>
        <w:tc>
          <w:tcPr>
            <w:tcW w:w="3260"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按报告书要求做好园区大气污染控制措施。管委会应做好园区内低硫煤的统一调配和供应，并积极推广清洁能源；加强入园企业环保管理，督促企业配套建设污染物防治设施，入园企业各生产装置排放的废弃需经处理达到相应的行业排放标准及《大气污染物综合排放标准》中的二级标准；加强生产工艺研究与技术改进，采取有效措施，减少园区内工艺废气的无组织排放。</w:t>
            </w:r>
          </w:p>
        </w:tc>
        <w:tc>
          <w:tcPr>
            <w:tcW w:w="3546"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园区已完成能源结构的转变，已实现</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全面禁煤</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，目</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前园区内主要使用能源为电、天然气和生物质；园区</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管委会要求入园企业加强环保管理，按照</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三同时</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制</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度配套建设污染防治设施，入园企业各生产装置排放</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的废气须经处理达到相应的行业排放标准及《大气污染物综合排放标准》中的二级标准。园区已于</w:t>
            </w:r>
            <w:r>
              <w:rPr>
                <w:rFonts w:hint="default" w:ascii="Times New Roman" w:hAnsi="Times New Roman" w:cs="Times New Roman" w:eastAsiaTheme="minorEastAsia"/>
                <w:color w:val="auto"/>
                <w:sz w:val="21"/>
                <w:szCs w:val="21"/>
                <w:lang w:val="en-US" w:eastAsia="zh-CN"/>
              </w:rPr>
              <w:t xml:space="preserve"> 2019</w:t>
            </w:r>
            <w:r>
              <w:rPr>
                <w:rFonts w:hint="eastAsia" w:ascii="Times New Roman" w:hAnsi="Times New Roman" w:cs="Times New Roman" w:eastAsiaTheme="minorEastAsia"/>
                <w:color w:val="auto"/>
                <w:sz w:val="21"/>
                <w:szCs w:val="21"/>
                <w:lang w:val="en-US" w:eastAsia="zh-CN"/>
              </w:rPr>
              <w:t>年</w:t>
            </w:r>
            <w:r>
              <w:rPr>
                <w:rFonts w:hint="default" w:ascii="Times New Roman" w:hAnsi="Times New Roman" w:cs="Times New Roman" w:eastAsiaTheme="minorEastAsia"/>
                <w:color w:val="auto"/>
                <w:sz w:val="21"/>
                <w:szCs w:val="21"/>
                <w:lang w:val="en-US" w:eastAsia="zh-CN"/>
              </w:rPr>
              <w:t xml:space="preserve">9 </w:t>
            </w:r>
            <w:r>
              <w:rPr>
                <w:rFonts w:hint="eastAsia" w:ascii="Times New Roman" w:hAnsi="Times New Roman" w:cs="Times New Roman" w:eastAsiaTheme="minorEastAsia"/>
                <w:color w:val="auto"/>
                <w:sz w:val="21"/>
                <w:szCs w:val="21"/>
                <w:lang w:val="en-US" w:eastAsia="zh-CN"/>
              </w:rPr>
              <w:t>月建成检测参数为</w:t>
            </w:r>
            <w:r>
              <w:rPr>
                <w:rFonts w:hint="default" w:ascii="Times New Roman" w:hAnsi="Times New Roman" w:cs="Times New Roman" w:eastAsiaTheme="minorEastAsia"/>
                <w:color w:val="auto"/>
                <w:sz w:val="21"/>
                <w:szCs w:val="21"/>
                <w:lang w:val="en-US" w:eastAsia="zh-CN"/>
              </w:rPr>
              <w:t xml:space="preserve"> PM</w:t>
            </w:r>
            <w:r>
              <w:rPr>
                <w:rFonts w:hint="default" w:ascii="Times New Roman" w:hAnsi="Times New Roman" w:cs="Times New Roman" w:eastAsiaTheme="minorEastAsia"/>
                <w:color w:val="auto"/>
                <w:sz w:val="21"/>
                <w:szCs w:val="21"/>
                <w:vertAlign w:val="subscript"/>
                <w:lang w:val="en-US" w:eastAsia="zh-CN"/>
              </w:rPr>
              <w:t>10</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PM</w:t>
            </w:r>
            <w:r>
              <w:rPr>
                <w:rFonts w:hint="default" w:ascii="Times New Roman" w:hAnsi="Times New Roman" w:cs="Times New Roman" w:eastAsiaTheme="minorEastAsia"/>
                <w:color w:val="auto"/>
                <w:sz w:val="21"/>
                <w:szCs w:val="21"/>
                <w:vertAlign w:val="subscript"/>
                <w:lang w:val="en-US" w:eastAsia="zh-CN"/>
              </w:rPr>
              <w:t>2.5</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SO</w:t>
            </w:r>
            <w:r>
              <w:rPr>
                <w:rFonts w:hint="default" w:ascii="Times New Roman" w:hAnsi="Times New Roman" w:cs="Times New Roman" w:eastAsiaTheme="minorEastAsia"/>
                <w:color w:val="auto"/>
                <w:sz w:val="21"/>
                <w:szCs w:val="21"/>
                <w:vertAlign w:val="subscript"/>
                <w:lang w:val="en-US" w:eastAsia="zh-CN"/>
              </w:rPr>
              <w:t>2</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NO</w:t>
            </w:r>
            <w:r>
              <w:rPr>
                <w:rFonts w:hint="default" w:ascii="Times New Roman" w:hAnsi="Times New Roman" w:cs="Times New Roman" w:eastAsiaTheme="minorEastAsia"/>
                <w:color w:val="auto"/>
                <w:sz w:val="21"/>
                <w:szCs w:val="21"/>
                <w:vertAlign w:val="subscript"/>
                <w:lang w:val="en-US" w:eastAsia="zh-CN"/>
              </w:rPr>
              <w:t>2</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CO</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 xml:space="preserve"> O</w:t>
            </w:r>
            <w:r>
              <w:rPr>
                <w:rFonts w:hint="default" w:ascii="Times New Roman" w:hAnsi="Times New Roman" w:cs="Times New Roman" w:eastAsiaTheme="minorEastAsia"/>
                <w:color w:val="auto"/>
                <w:sz w:val="21"/>
                <w:szCs w:val="21"/>
                <w:vertAlign w:val="subscript"/>
                <w:lang w:val="en-US" w:eastAsia="zh-CN"/>
              </w:rPr>
              <w:t>3</w:t>
            </w:r>
            <w:r>
              <w:rPr>
                <w:rFonts w:hint="eastAsia" w:ascii="Times New Roman" w:hAnsi="Times New Roman" w:cs="Times New Roman" w:eastAsiaTheme="minorEastAsia"/>
                <w:color w:val="auto"/>
                <w:sz w:val="21"/>
                <w:szCs w:val="21"/>
                <w:lang w:val="en-US" w:eastAsia="zh-CN"/>
              </w:rPr>
              <w:t>及气象五参数的微型空气监测站一座。</w:t>
            </w:r>
          </w:p>
        </w:tc>
        <w:tc>
          <w:tcPr>
            <w:tcW w:w="444" w:type="pc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已</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落</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5、做好集中区工业固体废物和生活垃圾处理</w:t>
            </w:r>
          </w:p>
        </w:tc>
        <w:tc>
          <w:tcPr>
            <w:tcW w:w="3260"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做好工业固体废物和生活垃圾的分类收集、转运、综合利用和无害化处理，建立统一的固废收集、贮存、运输、综合利用和安全处置的运营管理体系。规范固体废物处理措施，对工业企业产生固体废物特别是危险固废应按国家有关规定综合利用或妥善处置、严防二次污染。按报告书要求及建议选址建设好园区生活垃圾填埋场和一般工业固废处置场，满足相关规范要求。</w:t>
            </w:r>
          </w:p>
        </w:tc>
        <w:tc>
          <w:tcPr>
            <w:tcW w:w="3546"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园区内各企业工业固废和生活垃圾均按照性质分类存放、转运、综合利用和无害化处理；园区未建立统一的固废收集、贮存、运输、综合利用和安全处置的运营管理体系，园区内固废处置由各企业自行负责，各企业产生的危险固体废物均已按规范设置厂内危废暂存间，并定期委托有资质单位进行处理。园区尚未建设园区生活垃圾填埋场和一般工业固废处置场。</w:t>
            </w:r>
          </w:p>
        </w:tc>
        <w:tc>
          <w:tcPr>
            <w:tcW w:w="444" w:type="pct"/>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基本</w:t>
            </w:r>
            <w:r>
              <w:rPr>
                <w:rFonts w:ascii="Times New Roman" w:hAnsi="Times New Roman" w:cs="Times New Roman" w:eastAsiaTheme="minorEastAsia"/>
                <w:color w:val="auto"/>
                <w:sz w:val="21"/>
                <w:szCs w:val="21"/>
              </w:rPr>
              <w:t>落实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pct"/>
            <w:vAlign w:val="center"/>
          </w:tcPr>
          <w:p>
            <w:pP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6、环境管理</w:t>
            </w:r>
          </w:p>
        </w:tc>
        <w:tc>
          <w:tcPr>
            <w:tcW w:w="3260"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园区要建立专职的环境监督管理机构，建立健全环境风险事故防范措施和应急预案，严防环境风险事故发生。</w:t>
            </w:r>
          </w:p>
        </w:tc>
        <w:tc>
          <w:tcPr>
            <w:tcW w:w="3546"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园区已建立专职的环境监督管理机构，并编制了《沅陵</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县工业集中区突发环境事件应急预案》，该预案分别于</w:t>
            </w:r>
            <w:r>
              <w:rPr>
                <w:rFonts w:hint="default" w:ascii="Times New Roman" w:hAnsi="Times New Roman" w:cs="Times New Roman" w:eastAsiaTheme="minorEastAsia"/>
                <w:color w:val="auto"/>
                <w:sz w:val="21"/>
                <w:szCs w:val="21"/>
                <w:lang w:val="en-US" w:eastAsia="zh-CN"/>
              </w:rPr>
              <w:t xml:space="preserve"> 2019</w:t>
            </w:r>
            <w:r>
              <w:rPr>
                <w:rFonts w:hint="eastAsia" w:ascii="Times New Roman" w:hAnsi="Times New Roman" w:cs="Times New Roman" w:eastAsiaTheme="minorEastAsia"/>
                <w:color w:val="auto"/>
                <w:sz w:val="21"/>
                <w:szCs w:val="21"/>
                <w:lang w:val="en-US" w:eastAsia="zh-CN"/>
              </w:rPr>
              <w:t>年</w:t>
            </w:r>
            <w:r>
              <w:rPr>
                <w:rFonts w:hint="default" w:ascii="Times New Roman" w:hAnsi="Times New Roman" w:cs="Times New Roman" w:eastAsiaTheme="minorEastAsia"/>
                <w:color w:val="auto"/>
                <w:sz w:val="21"/>
                <w:szCs w:val="21"/>
                <w:lang w:val="en-US" w:eastAsia="zh-CN"/>
              </w:rPr>
              <w:t>4</w:t>
            </w:r>
            <w:r>
              <w:rPr>
                <w:rFonts w:hint="eastAsia" w:ascii="Times New Roman" w:hAnsi="Times New Roman" w:cs="Times New Roman" w:eastAsiaTheme="minorEastAsia"/>
                <w:color w:val="auto"/>
                <w:sz w:val="21"/>
                <w:szCs w:val="21"/>
                <w:lang w:val="en-US" w:eastAsia="zh-CN"/>
              </w:rPr>
              <w:t>月在怀化市生态环境局沅陵分局备案（备案编号为</w:t>
            </w:r>
            <w:r>
              <w:rPr>
                <w:rFonts w:hint="default" w:ascii="Times New Roman" w:hAnsi="Times New Roman" w:cs="Times New Roman" w:eastAsiaTheme="minorEastAsia"/>
                <w:color w:val="auto"/>
                <w:sz w:val="21"/>
                <w:szCs w:val="21"/>
                <w:lang w:val="en-US" w:eastAsia="zh-CN"/>
              </w:rPr>
              <w:t>431222-2019-001-L</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 xml:space="preserve">2019 </w:t>
            </w:r>
            <w:r>
              <w:rPr>
                <w:rFonts w:hint="eastAsia" w:ascii="Times New Roman" w:hAnsi="Times New Roman" w:cs="Times New Roman" w:eastAsiaTheme="minorEastAsia"/>
                <w:color w:val="auto"/>
                <w:sz w:val="21"/>
                <w:szCs w:val="21"/>
                <w:lang w:val="en-US" w:eastAsia="zh-CN"/>
              </w:rPr>
              <w:t>年</w:t>
            </w:r>
            <w:r>
              <w:rPr>
                <w:rFonts w:hint="default" w:ascii="Times New Roman" w:hAnsi="Times New Roman" w:cs="Times New Roman" w:eastAsiaTheme="minorEastAsia"/>
                <w:color w:val="auto"/>
                <w:sz w:val="21"/>
                <w:szCs w:val="21"/>
                <w:lang w:val="en-US" w:eastAsia="zh-CN"/>
              </w:rPr>
              <w:t>12</w:t>
            </w:r>
            <w:r>
              <w:rPr>
                <w:rFonts w:hint="eastAsia" w:ascii="Times New Roman" w:hAnsi="Times New Roman" w:cs="Times New Roman" w:eastAsiaTheme="minorEastAsia"/>
                <w:color w:val="auto"/>
                <w:sz w:val="21"/>
                <w:szCs w:val="21"/>
                <w:lang w:val="en-US" w:eastAsia="zh-CN"/>
              </w:rPr>
              <w:t>月在怀化市生态环境局备案（备案编号为</w:t>
            </w:r>
            <w:r>
              <w:rPr>
                <w:rFonts w:hint="default" w:ascii="Times New Roman" w:hAnsi="Times New Roman" w:cs="Times New Roman" w:eastAsiaTheme="minorEastAsia"/>
                <w:color w:val="auto"/>
                <w:sz w:val="21"/>
                <w:szCs w:val="21"/>
                <w:lang w:val="en-US" w:eastAsia="zh-CN"/>
              </w:rPr>
              <w:t xml:space="preserve"> 431222-2019-016-G</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并与沅陵县环境污染事故应急预案衔接，在事故发生时，可以及时地控制、消除并竟可能将其影响降至最低。</w:t>
            </w:r>
          </w:p>
        </w:tc>
        <w:tc>
          <w:tcPr>
            <w:tcW w:w="444" w:type="pc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已</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落</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62" w:type="pc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7、拆迁安置</w:t>
            </w:r>
          </w:p>
        </w:tc>
        <w:tc>
          <w:tcPr>
            <w:tcW w:w="3260"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统筹制定拆迁安置方案，落实移民生产生活安置措施，防止移民再次安置和次生环境问题。</w:t>
            </w:r>
          </w:p>
        </w:tc>
        <w:tc>
          <w:tcPr>
            <w:tcW w:w="3546"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已制定拆迁安置方案，园区现设有三个安置点，分别为位于园区西北面的高岩安置点、园区东面的刘家安置点、园区中北面的岩湾安置点，未发生移民再次安置和次生环境问题。</w:t>
            </w:r>
          </w:p>
        </w:tc>
        <w:tc>
          <w:tcPr>
            <w:tcW w:w="444" w:type="pct"/>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基本</w:t>
            </w:r>
            <w:r>
              <w:rPr>
                <w:rFonts w:ascii="Times New Roman" w:hAnsi="Times New Roman" w:cs="Times New Roman" w:eastAsiaTheme="minorEastAsia"/>
                <w:color w:val="auto"/>
                <w:sz w:val="21"/>
                <w:szCs w:val="21"/>
              </w:rPr>
              <w:t>落</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562" w:type="pc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8、做好建设期的生态保护和水土保持工作</w:t>
            </w:r>
          </w:p>
        </w:tc>
        <w:tc>
          <w:tcPr>
            <w:tcW w:w="3260"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做好建设期的生态保护和水土保持工作，对园区内的高大乔木应采取就地保护或保护性移植措施，土石方开挖、堆存及回填要实施围挡、护坡等措施，裸露地及时恢复植被，防止水土流失。按报告书要求适量保留原有山体植被，保留园区中南部二个主导产业分区之间的西北</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东南向山体和紧邻长吉高速公路的山体，提高园区建设的生态适宜度，减轻对常吉高速公路的不利景观影响。</w:t>
            </w:r>
          </w:p>
        </w:tc>
        <w:tc>
          <w:tcPr>
            <w:tcW w:w="3546" w:type="dxa"/>
            <w:vAlign w:val="center"/>
          </w:tcPr>
          <w:p>
            <w:pP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园区现有企业已做好建设期的生态保护和水土保持工作，园区内未存在明显生态破坏和水土流失问题；园区在开发过程中已尽量保留原有山体植被和紧临常吉高速公路的山体。</w:t>
            </w:r>
          </w:p>
        </w:tc>
        <w:tc>
          <w:tcPr>
            <w:tcW w:w="444" w:type="pct"/>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基本</w:t>
            </w:r>
            <w:r>
              <w:rPr>
                <w:rFonts w:ascii="Times New Roman" w:hAnsi="Times New Roman" w:cs="Times New Roman" w:eastAsiaTheme="minorEastAsia"/>
                <w:color w:val="auto"/>
                <w:sz w:val="21"/>
                <w:szCs w:val="21"/>
              </w:rPr>
              <w:t>落</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9、污染物总量控制</w:t>
            </w:r>
          </w:p>
        </w:tc>
        <w:tc>
          <w:tcPr>
            <w:tcW w:w="1912" w:type="pct"/>
            <w:vAlign w:val="center"/>
          </w:tcPr>
          <w:p>
            <w:pP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污染物总量控制：COD≤517t/a、SO2≤200t/a，总量指标纳入当地环保部门总量控制管理。</w:t>
            </w:r>
          </w:p>
        </w:tc>
        <w:tc>
          <w:tcPr>
            <w:tcW w:w="2080" w:type="pct"/>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根据</w:t>
            </w:r>
            <w:r>
              <w:rPr>
                <w:rFonts w:hint="eastAsia" w:ascii="Times New Roman" w:hAnsi="Times New Roman" w:cs="Times New Roman" w:eastAsiaTheme="minorEastAsia"/>
                <w:color w:val="auto"/>
                <w:sz w:val="21"/>
                <w:szCs w:val="21"/>
                <w:lang w:val="en-US" w:eastAsia="zh-CN"/>
              </w:rPr>
              <w:t>园区2021牛</w:t>
            </w:r>
            <w:r>
              <w:rPr>
                <w:rFonts w:hint="eastAsia" w:ascii="Times New Roman" w:hAnsi="Times New Roman" w:cs="Times New Roman" w:eastAsiaTheme="minorEastAsia"/>
                <w:color w:val="auto"/>
                <w:sz w:val="21"/>
                <w:szCs w:val="21"/>
              </w:rPr>
              <w:t>主要污染物排放量统计，目前园区各污染物的排放量均远远低于总量控制指标。总量指标已纳入当地环保部门污染物总量控制管理。</w:t>
            </w:r>
          </w:p>
        </w:tc>
        <w:tc>
          <w:tcPr>
            <w:tcW w:w="444" w:type="pc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已</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落</w:t>
            </w:r>
          </w:p>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实</w:t>
            </w:r>
          </w:p>
        </w:tc>
      </w:tr>
    </w:tbl>
    <w:p>
      <w:pPr>
        <w:pStyle w:val="17"/>
        <w:snapToGrid w:val="0"/>
        <w:spacing w:before="156" w:beforeLines="50" w:after="0" w:line="360" w:lineRule="auto"/>
        <w:ind w:left="0" w:leftChars="0" w:firstLine="562"/>
        <w:rPr>
          <w:rFonts w:hint="eastAsia" w:ascii="Times New Roman" w:hAnsi="Times New Roman" w:eastAsiaTheme="minorEastAsia"/>
          <w:b/>
          <w:color w:val="auto"/>
          <w:sz w:val="28"/>
          <w:szCs w:val="32"/>
        </w:rPr>
      </w:pPr>
    </w:p>
    <w:p>
      <w:pPr>
        <w:pStyle w:val="17"/>
        <w:snapToGrid w:val="0"/>
        <w:spacing w:before="156" w:beforeLines="50" w:after="0" w:line="360" w:lineRule="auto"/>
        <w:ind w:left="0" w:leftChars="0" w:firstLine="562"/>
        <w:rPr>
          <w:rFonts w:hint="default" w:ascii="Times New Roman" w:hAnsi="Times New Roman" w:eastAsiaTheme="minorEastAsia"/>
          <w:b/>
          <w:color w:val="auto"/>
          <w:sz w:val="22"/>
          <w:szCs w:val="32"/>
          <w:lang w:val="en-US" w:eastAsia="zh-CN"/>
        </w:rPr>
      </w:pPr>
      <w:r>
        <w:rPr>
          <w:rFonts w:hint="eastAsia" w:ascii="Times New Roman" w:hAnsi="Times New Roman" w:eastAsiaTheme="minorEastAsia"/>
          <w:b/>
          <w:color w:val="auto"/>
          <w:sz w:val="28"/>
          <w:szCs w:val="32"/>
        </w:rPr>
        <w:t>2、</w:t>
      </w:r>
      <w:r>
        <w:rPr>
          <w:rFonts w:ascii="Times New Roman" w:hAnsi="Times New Roman" w:eastAsiaTheme="minorEastAsia"/>
          <w:b/>
          <w:color w:val="auto"/>
          <w:sz w:val="28"/>
          <w:szCs w:val="32"/>
        </w:rPr>
        <w:t>园区规划环评要求的年度自行监测计划的落实情况</w:t>
      </w:r>
    </w:p>
    <w:tbl>
      <w:tblPr>
        <w:tblStyle w:val="18"/>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7"/>
        <w:gridCol w:w="1186"/>
        <w:gridCol w:w="2708"/>
        <w:gridCol w:w="1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980" w:type="dxa"/>
            <w:gridSpan w:val="4"/>
            <w:tcBorders>
              <w:tl2br w:val="nil"/>
              <w:tr2bl w:val="nil"/>
            </w:tcBorders>
            <w:noWrap w:val="0"/>
            <w:vAlign w:val="top"/>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eastAsia="zh-CN"/>
              </w:rPr>
              <w:t>规划监测情况</w:t>
            </w:r>
          </w:p>
        </w:tc>
        <w:tc>
          <w:tcPr>
            <w:tcW w:w="1548"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jc w:val="center"/>
              <w:textAlignment w:val="auto"/>
              <w:rPr>
                <w:rFonts w:hint="eastAsia" w:eastAsia="宋体" w:cs="Times New Roman"/>
                <w:color w:val="auto"/>
                <w:sz w:val="21"/>
                <w:szCs w:val="21"/>
                <w:lang w:eastAsia="zh-CN"/>
              </w:rPr>
            </w:pPr>
            <w:r>
              <w:rPr>
                <w:rFonts w:hint="eastAsia" w:eastAsia="宋体" w:cs="Times New Roman"/>
                <w:color w:val="auto"/>
                <w:sz w:val="21"/>
                <w:szCs w:val="21"/>
                <w:lang w:eastAsia="zh-CN"/>
              </w:rPr>
              <w:t>实际</w:t>
            </w:r>
            <w:r>
              <w:rPr>
                <w:rFonts w:hint="default" w:ascii="Times New Roman" w:hAnsi="Times New Roman" w:eastAsia="宋体" w:cs="Times New Roman"/>
                <w:color w:val="auto"/>
                <w:sz w:val="21"/>
                <w:szCs w:val="21"/>
              </w:rPr>
              <w:t>落实情况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086" w:type="dxa"/>
            <w:gridSpan w:val="2"/>
            <w:tcBorders>
              <w:tl2br w:val="nil"/>
              <w:tr2bl w:val="nil"/>
            </w:tcBorders>
            <w:noWrap w:val="0"/>
            <w:vAlign w:val="top"/>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eastAsia="宋体" w:cs="Times New Roman"/>
                <w:color w:val="auto"/>
                <w:sz w:val="21"/>
                <w:szCs w:val="21"/>
                <w:lang w:eastAsia="zh-CN"/>
              </w:rPr>
            </w:pPr>
            <w:r>
              <w:rPr>
                <w:rFonts w:hint="default" w:ascii="Times New Roman" w:hAnsi="Times New Roman" w:eastAsia="宋体" w:cs="Times New Roman"/>
                <w:color w:val="auto"/>
                <w:sz w:val="21"/>
                <w:szCs w:val="21"/>
              </w:rPr>
              <w:t>监测布点</w:t>
            </w:r>
          </w:p>
        </w:tc>
        <w:tc>
          <w:tcPr>
            <w:tcW w:w="1186" w:type="dxa"/>
            <w:tcBorders>
              <w:tl2br w:val="nil"/>
              <w:tr2bl w:val="nil"/>
            </w:tcBorders>
            <w:noWrap w:val="0"/>
            <w:vAlign w:val="top"/>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eastAsia="宋体" w:cs="Times New Roman"/>
                <w:color w:val="auto"/>
                <w:sz w:val="21"/>
                <w:szCs w:val="21"/>
                <w:lang w:eastAsia="zh-CN"/>
              </w:rPr>
            </w:pPr>
            <w:r>
              <w:rPr>
                <w:rFonts w:hint="eastAsia" w:eastAsia="宋体" w:cs="Times New Roman"/>
                <w:color w:val="auto"/>
                <w:sz w:val="21"/>
                <w:szCs w:val="21"/>
                <w:lang w:eastAsia="zh-CN"/>
              </w:rPr>
              <w:t>监测频次</w:t>
            </w:r>
          </w:p>
        </w:tc>
        <w:tc>
          <w:tcPr>
            <w:tcW w:w="2708" w:type="dxa"/>
            <w:tcBorders>
              <w:tl2br w:val="nil"/>
              <w:tr2bl w:val="nil"/>
            </w:tcBorders>
            <w:noWrap w:val="0"/>
            <w:vAlign w:val="top"/>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eastAsia="宋体" w:cs="Times New Roman"/>
                <w:color w:val="auto"/>
                <w:sz w:val="21"/>
                <w:szCs w:val="21"/>
                <w:lang w:eastAsia="zh-CN"/>
              </w:rPr>
            </w:pPr>
            <w:r>
              <w:rPr>
                <w:rFonts w:hint="default" w:ascii="Times New Roman" w:hAnsi="Times New Roman" w:eastAsia="宋体" w:cs="Times New Roman"/>
                <w:color w:val="auto"/>
                <w:sz w:val="21"/>
                <w:szCs w:val="21"/>
              </w:rPr>
              <w:t>监测项目</w:t>
            </w:r>
          </w:p>
        </w:tc>
        <w:tc>
          <w:tcPr>
            <w:tcW w:w="1548" w:type="dxa"/>
            <w:vMerge w:val="continue"/>
            <w:tcBorders>
              <w:tl2br w:val="nil"/>
              <w:tr2bl w:val="nil"/>
            </w:tcBorders>
            <w:noWrap w:val="0"/>
            <w:vAlign w:val="top"/>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eastAsia="宋体" w:cs="Times New Roman"/>
                <w:color w:val="auto"/>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59"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eastAsia="宋体" w:cs="Times New Roman"/>
                <w:color w:val="auto"/>
                <w:sz w:val="21"/>
                <w:szCs w:val="21"/>
                <w:lang w:eastAsia="zh-CN"/>
              </w:rPr>
            </w:pPr>
            <w:r>
              <w:rPr>
                <w:rFonts w:hint="eastAsia" w:eastAsia="宋体" w:cs="Times New Roman"/>
                <w:color w:val="auto"/>
                <w:sz w:val="21"/>
                <w:szCs w:val="21"/>
                <w:lang w:eastAsia="zh-CN"/>
              </w:rPr>
              <w:t>环境</w:t>
            </w:r>
          </w:p>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空气</w:t>
            </w: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凉水井镇中学</w:t>
            </w:r>
          </w:p>
        </w:tc>
        <w:tc>
          <w:tcPr>
            <w:tcW w:w="1186"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每季一次，每次连续监测</w:t>
            </w:r>
          </w:p>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5</w:t>
            </w:r>
            <w:r>
              <w:rPr>
                <w:rFonts w:hint="eastAsia" w:eastAsia="宋体" w:cs="Times New Roman"/>
                <w:color w:val="auto"/>
                <w:sz w:val="21"/>
                <w:szCs w:val="21"/>
                <w:lang w:eastAsia="zh-CN"/>
              </w:rPr>
              <w:t>天</w:t>
            </w:r>
          </w:p>
        </w:tc>
        <w:tc>
          <w:tcPr>
            <w:tcW w:w="2708"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highlight w:val="none"/>
              </w:rPr>
              <w:t>SO</w:t>
            </w:r>
            <w:r>
              <w:rPr>
                <w:rFonts w:hint="default" w:ascii="Times New Roman" w:hAnsi="Times New Roman" w:cs="Times New Roman"/>
                <w:color w:val="auto"/>
                <w:sz w:val="21"/>
                <w:szCs w:val="21"/>
                <w:highlight w:val="none"/>
                <w:vertAlign w:val="subscript"/>
              </w:rPr>
              <w:t>2</w:t>
            </w:r>
            <w:r>
              <w:rPr>
                <w:rFonts w:hint="default" w:ascii="Times New Roman" w:hAnsi="Times New Roman" w:cs="Times New Roman"/>
                <w:color w:val="auto"/>
                <w:sz w:val="21"/>
                <w:szCs w:val="21"/>
                <w:highlight w:val="none"/>
              </w:rPr>
              <w:t>、NO</w:t>
            </w:r>
            <w:r>
              <w:rPr>
                <w:rFonts w:hint="default" w:ascii="Times New Roman" w:hAnsi="Times New Roman" w:cs="Times New Roman"/>
                <w:color w:val="auto"/>
                <w:sz w:val="21"/>
                <w:szCs w:val="21"/>
                <w:highlight w:val="none"/>
                <w:vertAlign w:val="subscript"/>
              </w:rPr>
              <w:t>2</w:t>
            </w:r>
            <w:r>
              <w:rPr>
                <w:rFonts w:hint="default" w:ascii="Times New Roman" w:hAnsi="Times New Roman" w:cs="Times New Roman"/>
                <w:color w:val="auto"/>
                <w:sz w:val="21"/>
                <w:szCs w:val="21"/>
                <w:highlight w:val="none"/>
              </w:rPr>
              <w:t>、TSP</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PM</w:t>
            </w:r>
            <w:r>
              <w:rPr>
                <w:rFonts w:hint="default" w:ascii="Times New Roman" w:hAnsi="Times New Roman" w:cs="Times New Roman"/>
                <w:color w:val="auto"/>
                <w:sz w:val="21"/>
                <w:szCs w:val="21"/>
                <w:highlight w:val="none"/>
                <w:vertAlign w:val="subscript"/>
                <w:lang w:val="en-US" w:eastAsia="zh-CN"/>
              </w:rPr>
              <w:t>10</w:t>
            </w:r>
            <w:r>
              <w:rPr>
                <w:rFonts w:hint="default" w:ascii="Times New Roman" w:hAnsi="Times New Roman" w:cs="Times New Roman"/>
                <w:color w:val="auto"/>
                <w:sz w:val="21"/>
                <w:szCs w:val="21"/>
                <w:highlight w:val="none"/>
                <w:lang w:eastAsia="zh-CN"/>
              </w:rPr>
              <w:t>）</w:t>
            </w:r>
          </w:p>
        </w:tc>
        <w:tc>
          <w:tcPr>
            <w:tcW w:w="1548"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2021年在开展园区跟踪环评期间，委托第三方监测公司开展了一期监测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松山边居民点</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欧家湾居民点</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59"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地表水</w:t>
            </w: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蓝溪河松山边大桥断面</w:t>
            </w:r>
          </w:p>
        </w:tc>
        <w:tc>
          <w:tcPr>
            <w:tcW w:w="1186"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一次</w:t>
            </w:r>
            <w:r>
              <w:rPr>
                <w:rFonts w:hint="default" w:ascii="Times New Roman" w:hAnsi="Times New Roman" w:eastAsia="宋体" w:cs="Times New Roman"/>
                <w:color w:val="auto"/>
                <w:sz w:val="21"/>
                <w:szCs w:val="21"/>
                <w:lang w:val="en-US" w:eastAsia="zh-CN"/>
              </w:rPr>
              <w:t>/每季</w:t>
            </w:r>
            <w:r>
              <w:rPr>
                <w:rFonts w:hint="default" w:ascii="Times New Roman" w:hAnsi="Times New Roman" w:eastAsia="宋体" w:cs="Times New Roman"/>
                <w:color w:val="auto"/>
                <w:sz w:val="21"/>
                <w:szCs w:val="21"/>
              </w:rPr>
              <w:t>，每次连续</w:t>
            </w:r>
            <w:r>
              <w:rPr>
                <w:rFonts w:hint="default" w:ascii="Times New Roman" w:hAnsi="Times New Roman" w:eastAsia="宋体" w:cs="Times New Roman"/>
                <w:color w:val="auto"/>
                <w:sz w:val="21"/>
                <w:szCs w:val="21"/>
                <w:lang w:val="en-US" w:eastAsia="zh-CN"/>
              </w:rPr>
              <w:t>监测</w:t>
            </w:r>
            <w:r>
              <w:rPr>
                <w:rFonts w:hint="default" w:ascii="Times New Roman" w:hAnsi="Times New Roman" w:eastAsia="宋体" w:cs="Times New Roman"/>
                <w:color w:val="auto"/>
                <w:sz w:val="21"/>
                <w:szCs w:val="21"/>
              </w:rPr>
              <w:t>3天</w:t>
            </w:r>
          </w:p>
        </w:tc>
        <w:tc>
          <w:tcPr>
            <w:tcW w:w="2708" w:type="dxa"/>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ind w:left="0" w:leftChars="0" w:firstLine="0" w:firstLineChars="0"/>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水温、pH、COD</w:t>
            </w:r>
            <w:r>
              <w:rPr>
                <w:rFonts w:hint="default" w:ascii="Times New Roman" w:hAnsi="Times New Roman" w:eastAsia="宋体" w:cs="Times New Roman"/>
                <w:color w:val="auto"/>
                <w:kern w:val="2"/>
                <w:sz w:val="21"/>
                <w:szCs w:val="21"/>
                <w:vertAlign w:val="subscript"/>
                <w:lang w:val="en-US" w:eastAsia="zh-CN" w:bidi="ar-SA"/>
              </w:rPr>
              <w:t>cr</w:t>
            </w:r>
            <w:r>
              <w:rPr>
                <w:rFonts w:hint="default" w:ascii="Times New Roman" w:hAnsi="Times New Roman" w:eastAsia="宋体" w:cs="Times New Roman"/>
                <w:color w:val="auto"/>
                <w:kern w:val="2"/>
                <w:sz w:val="21"/>
                <w:szCs w:val="21"/>
                <w:lang w:val="en-US" w:eastAsia="zh-CN" w:bidi="ar-SA"/>
              </w:rPr>
              <w:t>、BOD</w:t>
            </w:r>
            <w:r>
              <w:rPr>
                <w:rFonts w:hint="default" w:ascii="Times New Roman" w:hAnsi="Times New Roman" w:eastAsia="宋体" w:cs="Times New Roman"/>
                <w:color w:val="auto"/>
                <w:kern w:val="2"/>
                <w:sz w:val="21"/>
                <w:szCs w:val="21"/>
                <w:vertAlign w:val="subscript"/>
                <w:lang w:val="en-US" w:eastAsia="zh-CN" w:bidi="ar-SA"/>
              </w:rPr>
              <w:t>5</w:t>
            </w:r>
            <w:r>
              <w:rPr>
                <w:rFonts w:hint="default" w:ascii="Times New Roman" w:hAnsi="Times New Roman" w:eastAsia="宋体" w:cs="Times New Roman"/>
                <w:color w:val="auto"/>
                <w:kern w:val="2"/>
                <w:sz w:val="21"/>
                <w:szCs w:val="21"/>
                <w:lang w:val="en-US" w:eastAsia="zh-CN" w:bidi="ar-SA"/>
              </w:rPr>
              <w:t>、DO、NH</w:t>
            </w:r>
            <w:r>
              <w:rPr>
                <w:rFonts w:hint="default" w:ascii="Times New Roman" w:hAnsi="Times New Roman" w:eastAsia="宋体" w:cs="Times New Roman"/>
                <w:color w:val="auto"/>
                <w:kern w:val="2"/>
                <w:sz w:val="21"/>
                <w:szCs w:val="21"/>
                <w:vertAlign w:val="subscript"/>
                <w:lang w:val="en-US" w:eastAsia="zh-CN" w:bidi="ar-SA"/>
              </w:rPr>
              <w:t>3</w:t>
            </w:r>
            <w:r>
              <w:rPr>
                <w:rFonts w:hint="default" w:ascii="Times New Roman" w:hAnsi="Times New Roman" w:eastAsia="宋体" w:cs="Times New Roman"/>
                <w:color w:val="auto"/>
                <w:kern w:val="2"/>
                <w:sz w:val="21"/>
                <w:szCs w:val="21"/>
                <w:lang w:val="en-US" w:eastAsia="zh-CN" w:bidi="ar-SA"/>
              </w:rPr>
              <w:t>-N、TP、硫化物、铜、锌、挥发酚、氟化物、氰化物、铅、镉、砷、汞、Cr</w:t>
            </w:r>
            <w:r>
              <w:rPr>
                <w:rFonts w:hint="default" w:ascii="Times New Roman" w:hAnsi="Times New Roman" w:eastAsia="宋体" w:cs="Times New Roman"/>
                <w:color w:val="auto"/>
                <w:kern w:val="2"/>
                <w:sz w:val="21"/>
                <w:szCs w:val="21"/>
                <w:vertAlign w:val="superscript"/>
                <w:lang w:val="en-US" w:eastAsia="zh-CN" w:bidi="ar-SA"/>
              </w:rPr>
              <w:t>6+</w:t>
            </w:r>
            <w:r>
              <w:rPr>
                <w:rFonts w:hint="default" w:ascii="Times New Roman" w:hAnsi="Times New Roman" w:eastAsia="宋体" w:cs="Times New Roman"/>
                <w:color w:val="auto"/>
                <w:kern w:val="2"/>
                <w:sz w:val="21"/>
                <w:szCs w:val="21"/>
                <w:lang w:val="en-US" w:eastAsia="zh-CN" w:bidi="ar-SA"/>
              </w:rPr>
              <w:t>、石油类、粪大肠菌群、SS、TN</w:t>
            </w:r>
          </w:p>
        </w:tc>
        <w:tc>
          <w:tcPr>
            <w:tcW w:w="1548"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2021年在开展园区跟踪环评期间，委托第三方监测公司开展了一期监测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ascii="Times New Roman" w:hAnsi="Times New Roman" w:eastAsia="宋体" w:cs="Times New Roman"/>
                <w:color w:val="auto"/>
                <w:sz w:val="21"/>
                <w:szCs w:val="21"/>
              </w:rPr>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蓝溪河丁家断面</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eastAsia" w:ascii="Times New Roman" w:hAnsi="Times New Roman" w:eastAsia="宋体" w:cs="Times New Roman"/>
                <w:color w:val="auto"/>
                <w:sz w:val="21"/>
                <w:szCs w:val="21"/>
              </w:rPr>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蓝溪河蓝溪口断面</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地下水</w:t>
            </w: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松山边居民点水井</w:t>
            </w:r>
          </w:p>
        </w:tc>
        <w:tc>
          <w:tcPr>
            <w:tcW w:w="1186"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2次/年，每次连续监测2天</w:t>
            </w:r>
          </w:p>
        </w:tc>
        <w:tc>
          <w:tcPr>
            <w:tcW w:w="2708" w:type="dxa"/>
            <w:vMerge w:val="restart"/>
            <w:tcBorders>
              <w:tl2br w:val="nil"/>
              <w:tr2bl w:val="nil"/>
            </w:tcBorders>
            <w:noWrap w:val="0"/>
            <w:vAlign w:val="center"/>
          </w:tcPr>
          <w:p>
            <w:pPr>
              <w:pStyle w:val="47"/>
              <w:keepNext w:val="0"/>
              <w:keepLines w:val="0"/>
              <w:pageBreakBefore w:val="0"/>
              <w:kinsoku/>
              <w:wordWrap/>
              <w:overflowPunct/>
              <w:topLinePunct w:val="0"/>
              <w:autoSpaceDE/>
              <w:autoSpaceDN/>
              <w:bidi w:val="0"/>
              <w:spacing w:line="28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val="en-US" w:eastAsia="zh-CN"/>
              </w:rPr>
              <w:t>p</w:t>
            </w:r>
            <w:r>
              <w:rPr>
                <w:rFonts w:hint="default" w:ascii="Times New Roman" w:hAnsi="Times New Roman" w:eastAsia="宋体" w:cs="Times New Roman"/>
                <w:color w:val="auto"/>
                <w:sz w:val="21"/>
                <w:szCs w:val="21"/>
                <w:highlight w:val="none"/>
                <w:lang w:val="en-US" w:eastAsia="zh-CN"/>
              </w:rPr>
              <w:t>H、CODmn、总硬度、溶解性总固体、硝酸盐、氨氮、硫化物、挥发酚、氟化物、氰化物、铅、镉、砷、汞、Cr</w:t>
            </w:r>
            <w:r>
              <w:rPr>
                <w:rFonts w:hint="default" w:ascii="Times New Roman" w:hAnsi="Times New Roman" w:eastAsia="宋体" w:cs="Times New Roman"/>
                <w:color w:val="auto"/>
                <w:sz w:val="21"/>
                <w:szCs w:val="21"/>
                <w:highlight w:val="none"/>
                <w:vertAlign w:val="superscript"/>
                <w:lang w:val="en-US" w:eastAsia="zh-CN"/>
              </w:rPr>
              <w:t>6+</w:t>
            </w:r>
          </w:p>
        </w:tc>
        <w:tc>
          <w:tcPr>
            <w:tcW w:w="1548" w:type="dxa"/>
            <w:vMerge w:val="restart"/>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2021年在开展园区跟踪环评期间，委托第三方监测公司开展了一期监测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color w:val="auto"/>
              </w:rPr>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欧家湾居民点水井</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59"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蒋家湾居民点水井</w:t>
            </w:r>
          </w:p>
        </w:tc>
        <w:tc>
          <w:tcPr>
            <w:tcW w:w="1186"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270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c>
          <w:tcPr>
            <w:tcW w:w="1548" w:type="dxa"/>
            <w:vMerge w:val="continue"/>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厂界、园区边界</w:t>
            </w:r>
          </w:p>
        </w:tc>
        <w:tc>
          <w:tcPr>
            <w:tcW w:w="1186"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每季度一次，分昼夜进行</w:t>
            </w:r>
          </w:p>
        </w:tc>
        <w:tc>
          <w:tcPr>
            <w:tcW w:w="2708"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等效连续A声级</w:t>
            </w:r>
          </w:p>
        </w:tc>
        <w:tc>
          <w:tcPr>
            <w:tcW w:w="1548"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2021年在开展园区跟踪环评期间，委托第三方监测公司开展了一期监测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9"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污染源监测</w:t>
            </w:r>
          </w:p>
        </w:tc>
        <w:tc>
          <w:tcPr>
            <w:tcW w:w="2127"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各企业污染源包括废气、污水、噪声、固体废物监测</w:t>
            </w:r>
          </w:p>
        </w:tc>
        <w:tc>
          <w:tcPr>
            <w:tcW w:w="1186"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每年一次</w:t>
            </w:r>
          </w:p>
        </w:tc>
        <w:tc>
          <w:tcPr>
            <w:tcW w:w="2708"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548" w:type="dxa"/>
            <w:tcBorders>
              <w:tl2br w:val="nil"/>
              <w:tr2bl w:val="nil"/>
            </w:tcBorders>
            <w:noWrap w:val="0"/>
            <w:vAlign w:val="center"/>
          </w:tcPr>
          <w:p>
            <w:pPr>
              <w:pStyle w:val="46"/>
              <w:keepNext w:val="0"/>
              <w:keepLines w:val="0"/>
              <w:pageBreakBefore w:val="0"/>
              <w:kinsoku/>
              <w:wordWrap/>
              <w:overflowPunct/>
              <w:topLinePunct w:val="0"/>
              <w:autoSpaceDE/>
              <w:autoSpaceDN/>
              <w:bidi w:val="0"/>
              <w:spacing w:line="280" w:lineRule="exact"/>
              <w:ind w:firstLine="0" w:firstLineChars="0"/>
              <w:textAlignment w:val="auto"/>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怀化市生态环境局沅陵分局</w:t>
            </w:r>
            <w:r>
              <w:rPr>
                <w:rFonts w:hint="default" w:ascii="Times New Roman" w:hAnsi="Times New Roman" w:eastAsia="宋体" w:cs="Times New Roman"/>
                <w:color w:val="auto"/>
                <w:sz w:val="21"/>
                <w:szCs w:val="21"/>
              </w:rPr>
              <w:t>环境监察大队定时采样抽查</w:t>
            </w:r>
          </w:p>
        </w:tc>
      </w:tr>
    </w:tbl>
    <w:p>
      <w:pPr>
        <w:pStyle w:val="17"/>
        <w:snapToGrid w:val="0"/>
        <w:spacing w:after="0"/>
        <w:ind w:left="0" w:leftChars="0" w:firstLine="221" w:firstLineChars="100"/>
        <w:jc w:val="center"/>
        <w:rPr>
          <w:rFonts w:hint="eastAsia" w:ascii="Times New Roman" w:hAnsi="Times New Roman" w:eastAsiaTheme="minorEastAsia"/>
          <w:b/>
          <w:color w:val="auto"/>
          <w:sz w:val="22"/>
          <w:szCs w:val="32"/>
        </w:rPr>
      </w:pPr>
    </w:p>
    <w:p>
      <w:pPr>
        <w:pStyle w:val="17"/>
        <w:snapToGrid w:val="0"/>
        <w:spacing w:after="0"/>
        <w:ind w:left="0" w:leftChars="0" w:firstLine="221" w:firstLineChars="100"/>
        <w:jc w:val="center"/>
        <w:rPr>
          <w:rFonts w:hint="eastAsia" w:ascii="Times New Roman" w:hAnsi="Times New Roman" w:eastAsiaTheme="minorEastAsia"/>
          <w:b/>
          <w:color w:val="auto"/>
          <w:sz w:val="22"/>
          <w:szCs w:val="32"/>
        </w:rPr>
      </w:pPr>
    </w:p>
    <w:p>
      <w:pPr>
        <w:pStyle w:val="17"/>
        <w:snapToGrid w:val="0"/>
        <w:spacing w:after="0" w:line="360" w:lineRule="auto"/>
        <w:ind w:left="0" w:leftChars="0" w:firstLine="560"/>
        <w:rPr>
          <w:rFonts w:ascii="Times New Roman" w:hAnsi="Times New Roman" w:eastAsiaTheme="minorEastAsia"/>
          <w:color w:val="auto"/>
          <w:sz w:val="28"/>
          <w:szCs w:val="32"/>
        </w:rPr>
      </w:pPr>
      <w:r>
        <w:rPr>
          <w:rFonts w:hint="eastAsia" w:ascii="Times New Roman" w:hAnsi="Times New Roman" w:eastAsiaTheme="minorEastAsia"/>
          <w:color w:val="auto"/>
          <w:sz w:val="28"/>
          <w:szCs w:val="32"/>
        </w:rPr>
        <w:t>环境空气：</w:t>
      </w:r>
      <w:r>
        <w:rPr>
          <w:rFonts w:hint="eastAsia" w:ascii="Times New Roman" w:hAnsi="Times New Roman" w:eastAsiaTheme="minorEastAsia"/>
          <w:color w:val="auto"/>
          <w:sz w:val="28"/>
          <w:szCs w:val="32"/>
          <w:lang w:eastAsia="zh-CN"/>
        </w:rPr>
        <w:t>沅陵产业开发区</w:t>
      </w:r>
      <w:r>
        <w:rPr>
          <w:rFonts w:hint="eastAsia" w:ascii="Times New Roman" w:hAnsi="Times New Roman" w:eastAsiaTheme="minorEastAsia"/>
          <w:color w:val="auto"/>
          <w:sz w:val="28"/>
          <w:szCs w:val="32"/>
        </w:rPr>
        <w:t>建设一个空气小微站，位于</w:t>
      </w:r>
      <w:r>
        <w:rPr>
          <w:rFonts w:hint="eastAsia" w:ascii="Times New Roman" w:hAnsi="Times New Roman" w:eastAsiaTheme="minorEastAsia"/>
          <w:color w:val="auto"/>
          <w:sz w:val="28"/>
          <w:szCs w:val="32"/>
          <w:lang w:val="en-US" w:eastAsia="zh-CN"/>
        </w:rPr>
        <w:t>园区管委会办公楼楼顶</w:t>
      </w:r>
      <w:r>
        <w:rPr>
          <w:rFonts w:hint="eastAsia" w:ascii="Times New Roman" w:hAnsi="Times New Roman" w:eastAsiaTheme="minorEastAsia"/>
          <w:color w:val="auto"/>
          <w:sz w:val="28"/>
          <w:szCs w:val="32"/>
        </w:rPr>
        <w:t>，用于实时监测园区大气环境质量，主要监测</w:t>
      </w:r>
      <w:r>
        <w:rPr>
          <w:rFonts w:ascii="Times New Roman" w:hAnsi="Times New Roman" w:eastAsiaTheme="minorEastAsia"/>
          <w:color w:val="auto"/>
          <w:sz w:val="28"/>
          <w:szCs w:val="32"/>
        </w:rPr>
        <w:t>CO、SO</w:t>
      </w:r>
      <w:r>
        <w:rPr>
          <w:rFonts w:ascii="Times New Roman" w:hAnsi="Times New Roman" w:eastAsiaTheme="minorEastAsia"/>
          <w:color w:val="auto"/>
          <w:sz w:val="28"/>
          <w:szCs w:val="32"/>
          <w:vertAlign w:val="subscript"/>
        </w:rPr>
        <w:t>2</w:t>
      </w:r>
      <w:r>
        <w:rPr>
          <w:rFonts w:ascii="Times New Roman" w:hAnsi="Times New Roman" w:eastAsiaTheme="minorEastAsia"/>
          <w:color w:val="auto"/>
          <w:sz w:val="28"/>
          <w:szCs w:val="32"/>
        </w:rPr>
        <w:t>、NO</w:t>
      </w:r>
      <w:r>
        <w:rPr>
          <w:rFonts w:ascii="Times New Roman" w:hAnsi="Times New Roman" w:eastAsiaTheme="minorEastAsia"/>
          <w:color w:val="auto"/>
          <w:sz w:val="28"/>
          <w:szCs w:val="32"/>
          <w:vertAlign w:val="subscript"/>
        </w:rPr>
        <w:t>2</w:t>
      </w:r>
      <w:r>
        <w:rPr>
          <w:rFonts w:ascii="Times New Roman" w:hAnsi="Times New Roman" w:eastAsiaTheme="minorEastAsia"/>
          <w:color w:val="auto"/>
          <w:sz w:val="28"/>
          <w:szCs w:val="32"/>
        </w:rPr>
        <w:t>、O</w:t>
      </w:r>
      <w:r>
        <w:rPr>
          <w:rFonts w:ascii="Times New Roman" w:hAnsi="Times New Roman" w:eastAsiaTheme="minorEastAsia"/>
          <w:color w:val="auto"/>
          <w:sz w:val="28"/>
          <w:szCs w:val="32"/>
          <w:vertAlign w:val="subscript"/>
        </w:rPr>
        <w:t>3</w:t>
      </w:r>
      <w:r>
        <w:rPr>
          <w:rFonts w:ascii="Times New Roman" w:hAnsi="Times New Roman" w:eastAsiaTheme="minorEastAsia"/>
          <w:color w:val="auto"/>
          <w:sz w:val="28"/>
          <w:szCs w:val="32"/>
        </w:rPr>
        <w:t>、PM</w:t>
      </w:r>
      <w:r>
        <w:rPr>
          <w:rFonts w:ascii="Times New Roman" w:hAnsi="Times New Roman" w:eastAsiaTheme="minorEastAsia"/>
          <w:color w:val="auto"/>
          <w:sz w:val="28"/>
          <w:szCs w:val="32"/>
          <w:vertAlign w:val="subscript"/>
        </w:rPr>
        <w:t>2.5</w:t>
      </w:r>
      <w:r>
        <w:rPr>
          <w:rFonts w:ascii="Times New Roman" w:hAnsi="Times New Roman" w:eastAsiaTheme="minorEastAsia"/>
          <w:color w:val="auto"/>
          <w:sz w:val="28"/>
          <w:szCs w:val="32"/>
        </w:rPr>
        <w:t>、PM</w:t>
      </w:r>
      <w:r>
        <w:rPr>
          <w:rFonts w:ascii="Times New Roman" w:hAnsi="Times New Roman" w:eastAsiaTheme="minorEastAsia"/>
          <w:color w:val="auto"/>
          <w:sz w:val="28"/>
          <w:szCs w:val="32"/>
          <w:vertAlign w:val="subscript"/>
        </w:rPr>
        <w:t>10</w:t>
      </w:r>
      <w:r>
        <w:rPr>
          <w:rFonts w:ascii="Times New Roman" w:hAnsi="Times New Roman" w:eastAsiaTheme="minorEastAsia"/>
          <w:color w:val="auto"/>
          <w:sz w:val="28"/>
          <w:szCs w:val="32"/>
        </w:rPr>
        <w:t>因子，监测数据能稳定上传怀化市环境监测信息平台。</w:t>
      </w:r>
      <w:r>
        <w:rPr>
          <w:rFonts w:hint="eastAsia" w:ascii="Times New Roman" w:hAnsi="Times New Roman" w:eastAsiaTheme="minorEastAsia"/>
          <w:color w:val="auto"/>
          <w:sz w:val="28"/>
          <w:szCs w:val="32"/>
          <w:lang w:eastAsia="zh-CN"/>
        </w:rPr>
        <w:t>2021年</w:t>
      </w:r>
      <w:r>
        <w:rPr>
          <w:rFonts w:hint="eastAsia" w:ascii="Times New Roman" w:hAnsi="Times New Roman" w:eastAsiaTheme="minorEastAsia"/>
          <w:color w:val="auto"/>
          <w:sz w:val="28"/>
          <w:szCs w:val="32"/>
        </w:rPr>
        <w:t>度，园区环境空气达标率</w:t>
      </w:r>
      <w:r>
        <w:rPr>
          <w:rFonts w:hint="eastAsia" w:ascii="Times New Roman" w:hAnsi="Times New Roman" w:eastAsiaTheme="minorEastAsia"/>
          <w:color w:val="auto"/>
          <w:sz w:val="28"/>
          <w:szCs w:val="32"/>
          <w:lang w:val="en-US" w:eastAsia="zh-CN"/>
        </w:rPr>
        <w:t>100</w:t>
      </w:r>
      <w:r>
        <w:rPr>
          <w:rFonts w:ascii="Times New Roman" w:hAnsi="Times New Roman" w:eastAsiaTheme="minorEastAsia"/>
          <w:color w:val="auto"/>
          <w:sz w:val="28"/>
          <w:szCs w:val="32"/>
        </w:rPr>
        <w:t>%。</w:t>
      </w:r>
    </w:p>
    <w:p>
      <w:pPr>
        <w:pStyle w:val="17"/>
        <w:snapToGrid w:val="0"/>
        <w:spacing w:after="0" w:line="360" w:lineRule="auto"/>
        <w:ind w:left="0" w:leftChars="0" w:firstLine="560"/>
        <w:rPr>
          <w:rFonts w:ascii="Times New Roman" w:hAnsi="Times New Roman" w:eastAsiaTheme="minorEastAsia"/>
          <w:color w:val="auto"/>
          <w:sz w:val="28"/>
          <w:szCs w:val="32"/>
        </w:rPr>
      </w:pPr>
      <w:r>
        <w:rPr>
          <w:rFonts w:ascii="Times New Roman" w:hAnsi="Times New Roman" w:eastAsiaTheme="minorEastAsia"/>
          <w:color w:val="auto"/>
          <w:sz w:val="28"/>
          <w:szCs w:val="32"/>
        </w:rPr>
        <w:t>地表水环境</w:t>
      </w:r>
      <w:r>
        <w:rPr>
          <w:rFonts w:hint="eastAsia" w:ascii="Times New Roman" w:hAnsi="Times New Roman" w:eastAsiaTheme="minorEastAsia"/>
          <w:color w:val="auto"/>
          <w:sz w:val="28"/>
          <w:szCs w:val="32"/>
        </w:rPr>
        <w:t>：园区配套的</w:t>
      </w:r>
      <w:r>
        <w:rPr>
          <w:rFonts w:hint="eastAsia" w:ascii="Times New Roman" w:hAnsi="Times New Roman" w:eastAsiaTheme="minorEastAsia"/>
          <w:color w:val="auto"/>
          <w:sz w:val="28"/>
          <w:szCs w:val="32"/>
          <w:lang w:val="en-US" w:eastAsia="zh-CN"/>
        </w:rPr>
        <w:t>沅陵产业开发区</w:t>
      </w:r>
      <w:r>
        <w:rPr>
          <w:rFonts w:hint="eastAsia" w:ascii="Times New Roman" w:hAnsi="Times New Roman" w:eastAsiaTheme="minorEastAsia"/>
          <w:color w:val="auto"/>
          <w:sz w:val="28"/>
          <w:szCs w:val="32"/>
        </w:rPr>
        <w:t>污水处理厂</w:t>
      </w:r>
      <w:r>
        <w:rPr>
          <w:rFonts w:ascii="Times New Roman" w:hAnsi="Times New Roman" w:eastAsiaTheme="minorEastAsia"/>
          <w:color w:val="auto"/>
          <w:sz w:val="28"/>
          <w:szCs w:val="32"/>
        </w:rPr>
        <w:t>在线监测设施</w:t>
      </w:r>
      <w:r>
        <w:rPr>
          <w:rFonts w:hint="eastAsia" w:ascii="Times New Roman" w:hAnsi="Times New Roman" w:eastAsiaTheme="minorEastAsia"/>
          <w:color w:val="auto"/>
          <w:sz w:val="28"/>
          <w:szCs w:val="32"/>
          <w:lang w:val="en-US" w:eastAsia="zh-CN"/>
        </w:rPr>
        <w:t>已实现</w:t>
      </w:r>
      <w:r>
        <w:rPr>
          <w:rFonts w:ascii="Times New Roman" w:hAnsi="Times New Roman" w:eastAsiaTheme="minorEastAsia"/>
          <w:color w:val="auto"/>
          <w:sz w:val="28"/>
          <w:szCs w:val="32"/>
        </w:rPr>
        <w:t>联网验收，出口污水水质数据正式上传，园区可以实时了解</w:t>
      </w:r>
      <w:r>
        <w:rPr>
          <w:rFonts w:hint="eastAsia" w:ascii="Times New Roman" w:hAnsi="Times New Roman" w:eastAsiaTheme="minorEastAsia"/>
          <w:color w:val="auto"/>
          <w:sz w:val="28"/>
          <w:szCs w:val="32"/>
          <w:lang w:val="en-US" w:eastAsia="zh-CN"/>
        </w:rPr>
        <w:t>产业开发区</w:t>
      </w:r>
      <w:r>
        <w:rPr>
          <w:rFonts w:ascii="Times New Roman" w:hAnsi="Times New Roman" w:eastAsiaTheme="minorEastAsia"/>
          <w:color w:val="auto"/>
          <w:sz w:val="28"/>
          <w:szCs w:val="32"/>
        </w:rPr>
        <w:t>污水处理厂的废水总排口的排放情况。</w:t>
      </w:r>
      <w:r>
        <w:rPr>
          <w:rFonts w:hint="eastAsia" w:ascii="Times New Roman" w:hAnsi="Times New Roman" w:eastAsiaTheme="minorEastAsia"/>
          <w:color w:val="auto"/>
          <w:sz w:val="28"/>
          <w:szCs w:val="32"/>
          <w:lang w:eastAsia="zh-CN"/>
        </w:rPr>
        <w:t>2021年</w:t>
      </w:r>
      <w:r>
        <w:rPr>
          <w:rFonts w:hint="eastAsia" w:ascii="Times New Roman" w:hAnsi="Times New Roman" w:eastAsiaTheme="minorEastAsia"/>
          <w:color w:val="auto"/>
          <w:sz w:val="28"/>
          <w:szCs w:val="32"/>
        </w:rPr>
        <w:t>，</w:t>
      </w:r>
      <w:r>
        <w:rPr>
          <w:rFonts w:hint="eastAsia" w:ascii="Times New Roman" w:hAnsi="Times New Roman" w:eastAsiaTheme="minorEastAsia"/>
          <w:color w:val="auto"/>
          <w:sz w:val="28"/>
          <w:szCs w:val="32"/>
          <w:lang w:val="en-US" w:eastAsia="zh-CN"/>
        </w:rPr>
        <w:t>沅陵产业开发区</w:t>
      </w:r>
      <w:r>
        <w:rPr>
          <w:rFonts w:hint="eastAsia" w:ascii="Times New Roman" w:hAnsi="Times New Roman" w:eastAsiaTheme="minorEastAsia"/>
          <w:color w:val="auto"/>
          <w:sz w:val="28"/>
          <w:szCs w:val="32"/>
        </w:rPr>
        <w:t>污水处理厂排污口的出水水质均达标。</w:t>
      </w:r>
    </w:p>
    <w:p>
      <w:pPr>
        <w:pStyle w:val="17"/>
        <w:snapToGrid w:val="0"/>
        <w:spacing w:after="0" w:line="360" w:lineRule="auto"/>
        <w:ind w:left="0" w:leftChars="0" w:firstLine="560"/>
        <w:rPr>
          <w:rFonts w:ascii="Times New Roman" w:hAnsi="Times New Roman" w:eastAsiaTheme="minorEastAsia"/>
          <w:color w:val="auto"/>
          <w:sz w:val="28"/>
          <w:szCs w:val="32"/>
        </w:rPr>
      </w:pPr>
      <w:r>
        <w:rPr>
          <w:rFonts w:hint="eastAsia" w:ascii="Times New Roman" w:hAnsi="Times New Roman" w:eastAsiaTheme="minorEastAsia"/>
          <w:color w:val="auto"/>
          <w:sz w:val="28"/>
          <w:szCs w:val="32"/>
        </w:rPr>
        <w:t>20</w:t>
      </w:r>
      <w:r>
        <w:rPr>
          <w:rFonts w:hint="eastAsia" w:ascii="Times New Roman" w:hAnsi="Times New Roman" w:eastAsiaTheme="minorEastAsia"/>
          <w:color w:val="auto"/>
          <w:sz w:val="28"/>
          <w:szCs w:val="32"/>
          <w:lang w:val="en-US" w:eastAsia="zh-CN"/>
        </w:rPr>
        <w:t>21</w:t>
      </w:r>
      <w:r>
        <w:rPr>
          <w:rFonts w:hint="eastAsia" w:ascii="Times New Roman" w:hAnsi="Times New Roman" w:eastAsiaTheme="minorEastAsia"/>
          <w:color w:val="auto"/>
          <w:sz w:val="28"/>
          <w:szCs w:val="32"/>
        </w:rPr>
        <w:t>年园区</w:t>
      </w:r>
      <w:r>
        <w:rPr>
          <w:rFonts w:hint="eastAsia" w:ascii="Times New Roman" w:hAnsi="Times New Roman" w:eastAsiaTheme="minorEastAsia"/>
          <w:color w:val="auto"/>
          <w:sz w:val="28"/>
          <w:szCs w:val="32"/>
          <w:lang w:val="en-US" w:eastAsia="zh-CN"/>
        </w:rPr>
        <w:t>在</w:t>
      </w:r>
      <w:r>
        <w:rPr>
          <w:rFonts w:hint="eastAsia" w:ascii="Times New Roman" w:hAnsi="Times New Roman" w:eastAsiaTheme="minorEastAsia"/>
          <w:color w:val="auto"/>
          <w:sz w:val="28"/>
          <w:szCs w:val="32"/>
        </w:rPr>
        <w:t>开展环境影响跟踪评价阶段，在上表2环境监测计划的基础上根据园区发展现状的及规划情况，补充完善监测断面及监测因子，对园区环境空气、地表水环境、声环境、地下水、土壤环境进行了</w:t>
      </w:r>
      <w:r>
        <w:rPr>
          <w:rFonts w:hint="eastAsia" w:ascii="Times New Roman" w:hAnsi="Times New Roman" w:eastAsiaTheme="minorEastAsia"/>
          <w:color w:val="auto"/>
          <w:sz w:val="28"/>
          <w:szCs w:val="32"/>
          <w:lang w:val="en-US" w:eastAsia="zh-CN"/>
        </w:rPr>
        <w:t>一期</w:t>
      </w:r>
      <w:r>
        <w:rPr>
          <w:rFonts w:hint="eastAsia" w:ascii="Times New Roman" w:hAnsi="Times New Roman" w:eastAsiaTheme="minorEastAsia"/>
          <w:color w:val="auto"/>
          <w:sz w:val="28"/>
          <w:szCs w:val="32"/>
        </w:rPr>
        <w:t>全方面的环境监测。</w:t>
      </w:r>
    </w:p>
    <w:p>
      <w:pPr>
        <w:pStyle w:val="17"/>
        <w:snapToGrid w:val="0"/>
        <w:spacing w:after="0" w:line="360" w:lineRule="auto"/>
        <w:ind w:left="0" w:leftChars="0" w:firstLine="560"/>
        <w:rPr>
          <w:rFonts w:ascii="Times New Roman" w:hAnsi="Times New Roman" w:eastAsiaTheme="minorEastAsia"/>
          <w:color w:val="auto"/>
          <w:sz w:val="28"/>
          <w:szCs w:val="32"/>
        </w:rPr>
      </w:pPr>
      <w:r>
        <w:rPr>
          <w:rFonts w:hint="eastAsia" w:ascii="Times New Roman" w:hAnsi="Times New Roman" w:eastAsiaTheme="minorEastAsia"/>
          <w:color w:val="auto"/>
          <w:sz w:val="28"/>
          <w:szCs w:val="32"/>
        </w:rPr>
        <w:t xml:space="preserve">企业污染源：工业集中区内各企业根据各建设项目环境影响评价报告、排污许可证等要求制定自行监测方案、并实施。 </w:t>
      </w:r>
    </w:p>
    <w:p>
      <w:pPr>
        <w:pStyle w:val="17"/>
        <w:snapToGrid w:val="0"/>
        <w:spacing w:after="0" w:line="360" w:lineRule="auto"/>
        <w:ind w:left="0" w:leftChars="0" w:firstLine="562"/>
        <w:outlineLvl w:val="1"/>
        <w:rPr>
          <w:rFonts w:ascii="Times New Roman" w:hAnsi="Times New Roman" w:eastAsiaTheme="minorEastAsia"/>
          <w:b/>
          <w:color w:val="auto"/>
          <w:sz w:val="28"/>
          <w:szCs w:val="32"/>
        </w:rPr>
      </w:pPr>
      <w:bookmarkStart w:id="4" w:name="_Toc68103678"/>
      <w:r>
        <w:rPr>
          <w:rFonts w:ascii="Times New Roman" w:hAnsi="Times New Roman" w:eastAsiaTheme="minorEastAsia"/>
          <w:b/>
          <w:color w:val="auto"/>
          <w:sz w:val="28"/>
          <w:szCs w:val="32"/>
        </w:rPr>
        <w:t>（二）“三线一单”落地应用情况</w:t>
      </w:r>
      <w:bookmarkEnd w:id="4"/>
    </w:p>
    <w:p>
      <w:pPr>
        <w:pStyle w:val="17"/>
        <w:snapToGrid w:val="0"/>
        <w:spacing w:after="0" w:line="360" w:lineRule="auto"/>
        <w:ind w:left="0" w:leftChars="0" w:firstLine="560"/>
        <w:rPr>
          <w:rFonts w:ascii="Times New Roman" w:hAnsi="Times New Roman" w:eastAsiaTheme="minorEastAsia"/>
          <w:color w:val="auto"/>
          <w:sz w:val="28"/>
          <w:szCs w:val="32"/>
        </w:rPr>
      </w:pPr>
      <w:r>
        <w:rPr>
          <w:rFonts w:hint="eastAsia" w:ascii="Times New Roman" w:hAnsi="Times New Roman" w:eastAsiaTheme="minorEastAsia"/>
          <w:color w:val="auto"/>
          <w:sz w:val="28"/>
          <w:szCs w:val="32"/>
        </w:rPr>
        <w:t>《湖南省人民政府关于实施“三线一单”生态环境分区管控的意见》、《湖南省“三线一单”生态环境总体管控要求既省级以上产业园区生态环境准入清单》等相关文件，明确了</w:t>
      </w:r>
      <w:r>
        <w:rPr>
          <w:rFonts w:hint="eastAsia" w:ascii="Times New Roman" w:hAnsi="Times New Roman" w:eastAsiaTheme="minorEastAsia"/>
          <w:color w:val="auto"/>
          <w:sz w:val="28"/>
          <w:szCs w:val="32"/>
          <w:lang w:eastAsia="zh-CN"/>
        </w:rPr>
        <w:t>沅陵产业开发区</w:t>
      </w:r>
      <w:r>
        <w:rPr>
          <w:rFonts w:hint="eastAsia" w:ascii="Times New Roman" w:hAnsi="Times New Roman" w:eastAsiaTheme="minorEastAsia"/>
          <w:color w:val="auto"/>
          <w:sz w:val="28"/>
          <w:szCs w:val="32"/>
        </w:rPr>
        <w:t xml:space="preserve"> “三线一单”生态环境管控要求，见下表。</w:t>
      </w:r>
    </w:p>
    <w:p>
      <w:pPr>
        <w:pStyle w:val="17"/>
        <w:snapToGrid w:val="0"/>
        <w:spacing w:after="0"/>
        <w:ind w:left="0" w:leftChars="0" w:firstLine="1687" w:firstLineChars="700"/>
        <w:rPr>
          <w:rFonts w:ascii="Times New Roman" w:hAnsi="Times New Roman" w:eastAsiaTheme="minorEastAsia"/>
          <w:color w:val="auto"/>
          <w:sz w:val="28"/>
          <w:szCs w:val="32"/>
        </w:rPr>
      </w:pPr>
      <w:r>
        <w:rPr>
          <w:rFonts w:hint="eastAsia" w:ascii="Times New Roman" w:hAnsi="Times New Roman" w:eastAsiaTheme="minorEastAsia"/>
          <w:b/>
          <w:color w:val="auto"/>
          <w:sz w:val="24"/>
          <w:szCs w:val="32"/>
        </w:rPr>
        <w:t xml:space="preserve">表3   </w:t>
      </w:r>
      <w:r>
        <w:rPr>
          <w:rFonts w:hint="eastAsia" w:ascii="Times New Roman" w:hAnsi="Times New Roman" w:eastAsiaTheme="minorEastAsia"/>
          <w:b/>
          <w:color w:val="auto"/>
          <w:sz w:val="24"/>
          <w:szCs w:val="28"/>
          <w:lang w:eastAsia="zh-CN"/>
        </w:rPr>
        <w:t>沅陵产业开发区</w:t>
      </w:r>
      <w:r>
        <w:rPr>
          <w:rFonts w:hint="eastAsia" w:ascii="Times New Roman" w:hAnsi="Times New Roman" w:eastAsiaTheme="minorEastAsia"/>
          <w:b/>
          <w:color w:val="auto"/>
          <w:sz w:val="24"/>
          <w:szCs w:val="28"/>
        </w:rPr>
        <w:t>“三线一单”环境管控要求</w:t>
      </w:r>
    </w:p>
    <w:p>
      <w:pPr>
        <w:pStyle w:val="17"/>
        <w:snapToGrid w:val="0"/>
        <w:spacing w:after="0"/>
        <w:ind w:left="-280" w:leftChars="-100" w:firstLine="0" w:firstLineChars="0"/>
        <w:rPr>
          <w:rFonts w:ascii="Times New Roman" w:hAnsi="Times New Roman" w:eastAsiaTheme="minorEastAsia"/>
          <w:color w:val="auto"/>
          <w:sz w:val="28"/>
          <w:szCs w:val="28"/>
        </w:rPr>
      </w:pPr>
      <w:r>
        <w:rPr>
          <w:color w:val="auto"/>
        </w:rPr>
        <w:drawing>
          <wp:anchor distT="0" distB="0" distL="114300" distR="114300" simplePos="0" relativeHeight="251659264" behindDoc="0" locked="0" layoutInCell="1" allowOverlap="1">
            <wp:simplePos x="0" y="0"/>
            <wp:positionH relativeFrom="column">
              <wp:posOffset>-66675</wp:posOffset>
            </wp:positionH>
            <wp:positionV relativeFrom="paragraph">
              <wp:posOffset>198120</wp:posOffset>
            </wp:positionV>
            <wp:extent cx="5579110" cy="3075305"/>
            <wp:effectExtent l="0" t="0" r="2540" b="1079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579110" cy="3075305"/>
                    </a:xfrm>
                    <a:prstGeom prst="rect">
                      <a:avLst/>
                    </a:prstGeom>
                    <a:noFill/>
                    <a:ln>
                      <a:noFill/>
                    </a:ln>
                  </pic:spPr>
                </pic:pic>
              </a:graphicData>
            </a:graphic>
          </wp:anchor>
        </w:drawing>
      </w:r>
    </w:p>
    <w:p>
      <w:pPr>
        <w:pStyle w:val="17"/>
        <w:snapToGrid w:val="0"/>
        <w:spacing w:after="0"/>
        <w:ind w:left="-280" w:leftChars="-100" w:firstLine="0" w:firstLineChars="0"/>
        <w:rPr>
          <w:rFonts w:ascii="Times New Roman" w:hAnsi="Times New Roman" w:eastAsiaTheme="minorEastAsia"/>
          <w:color w:val="auto"/>
          <w:sz w:val="28"/>
          <w:szCs w:val="28"/>
        </w:rPr>
      </w:pPr>
    </w:p>
    <w:p>
      <w:pPr>
        <w:pStyle w:val="17"/>
        <w:snapToGrid w:val="0"/>
        <w:spacing w:after="0"/>
        <w:ind w:left="-280" w:leftChars="-100" w:firstLine="0" w:firstLineChars="0"/>
        <w:rPr>
          <w:rFonts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r>
        <w:rPr>
          <w:color w:val="auto"/>
        </w:rPr>
        <w:drawing>
          <wp:anchor distT="0" distB="0" distL="114300" distR="114300" simplePos="0" relativeHeight="251660288" behindDoc="0" locked="0" layoutInCell="1" allowOverlap="1">
            <wp:simplePos x="0" y="0"/>
            <wp:positionH relativeFrom="column">
              <wp:posOffset>-22225</wp:posOffset>
            </wp:positionH>
            <wp:positionV relativeFrom="paragraph">
              <wp:posOffset>91440</wp:posOffset>
            </wp:positionV>
            <wp:extent cx="5252085" cy="1964690"/>
            <wp:effectExtent l="0" t="0" r="5715" b="1651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252085" cy="1964690"/>
                    </a:xfrm>
                    <a:prstGeom prst="rect">
                      <a:avLst/>
                    </a:prstGeom>
                    <a:noFill/>
                    <a:ln>
                      <a:noFill/>
                    </a:ln>
                  </pic:spPr>
                </pic:pic>
              </a:graphicData>
            </a:graphic>
          </wp:anchor>
        </w:drawing>
      </w: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hint="eastAsia" w:ascii="Times New Roman" w:hAnsi="Times New Roman" w:eastAsiaTheme="minorEastAsia"/>
          <w:color w:val="auto"/>
          <w:sz w:val="28"/>
          <w:szCs w:val="28"/>
        </w:rPr>
      </w:pPr>
    </w:p>
    <w:p>
      <w:pPr>
        <w:pStyle w:val="17"/>
        <w:snapToGrid w:val="0"/>
        <w:spacing w:before="156" w:beforeLines="50" w:after="0" w:line="360" w:lineRule="auto"/>
        <w:ind w:left="0" w:leftChars="0" w:firstLine="560"/>
        <w:rPr>
          <w:rFonts w:ascii="Times New Roman" w:hAnsi="Times New Roman" w:eastAsiaTheme="minorEastAsia"/>
          <w:color w:val="auto"/>
          <w:sz w:val="28"/>
          <w:szCs w:val="28"/>
        </w:rPr>
      </w:pPr>
      <w:r>
        <w:rPr>
          <w:rFonts w:hint="eastAsia" w:ascii="Times New Roman" w:hAnsi="Times New Roman" w:eastAsiaTheme="minorEastAsia"/>
          <w:color w:val="auto"/>
          <w:sz w:val="28"/>
          <w:szCs w:val="28"/>
          <w:lang w:eastAsia="zh-CN"/>
        </w:rPr>
        <w:t>2021年</w:t>
      </w:r>
      <w:r>
        <w:rPr>
          <w:rFonts w:hint="eastAsia" w:ascii="Times New Roman" w:hAnsi="Times New Roman" w:eastAsiaTheme="minorEastAsia"/>
          <w:color w:val="auto"/>
          <w:sz w:val="28"/>
          <w:szCs w:val="28"/>
        </w:rPr>
        <w:t>，</w:t>
      </w:r>
      <w:r>
        <w:rPr>
          <w:rFonts w:hint="eastAsia" w:ascii="Times New Roman" w:hAnsi="Times New Roman" w:eastAsiaTheme="minorEastAsia"/>
          <w:color w:val="auto"/>
          <w:sz w:val="28"/>
          <w:szCs w:val="28"/>
          <w:lang w:eastAsia="zh-CN"/>
        </w:rPr>
        <w:t>沅陵产业开发区</w:t>
      </w:r>
      <w:r>
        <w:rPr>
          <w:rFonts w:hint="eastAsia" w:ascii="Times New Roman" w:hAnsi="Times New Roman" w:eastAsiaTheme="minorEastAsia"/>
          <w:color w:val="auto"/>
          <w:sz w:val="28"/>
          <w:szCs w:val="28"/>
        </w:rPr>
        <w:t>“三线一单”落地应用情况见下表：</w:t>
      </w:r>
    </w:p>
    <w:p>
      <w:pPr>
        <w:pStyle w:val="17"/>
        <w:snapToGrid w:val="0"/>
        <w:spacing w:after="0"/>
        <w:ind w:left="0" w:leftChars="0" w:firstLine="1205" w:firstLineChars="500"/>
        <w:rPr>
          <w:rFonts w:ascii="Times New Roman" w:hAnsi="Times New Roman" w:eastAsiaTheme="minorEastAsia"/>
          <w:b/>
          <w:color w:val="auto"/>
          <w:sz w:val="28"/>
          <w:szCs w:val="28"/>
        </w:rPr>
      </w:pPr>
      <w:r>
        <w:rPr>
          <w:rFonts w:hint="eastAsia" w:ascii="Times New Roman" w:hAnsi="Times New Roman" w:eastAsiaTheme="minorEastAsia"/>
          <w:b/>
          <w:color w:val="auto"/>
          <w:sz w:val="24"/>
          <w:szCs w:val="32"/>
        </w:rPr>
        <w:t xml:space="preserve">表4  </w:t>
      </w:r>
      <w:r>
        <w:rPr>
          <w:rFonts w:hint="eastAsia" w:ascii="Times New Roman" w:hAnsi="Times New Roman" w:eastAsiaTheme="minorEastAsia"/>
          <w:b/>
          <w:color w:val="auto"/>
          <w:sz w:val="24"/>
          <w:szCs w:val="28"/>
          <w:lang w:eastAsia="zh-CN"/>
        </w:rPr>
        <w:t>沅陵产业开发区</w:t>
      </w:r>
      <w:r>
        <w:rPr>
          <w:rFonts w:hint="eastAsia" w:ascii="Times New Roman" w:hAnsi="Times New Roman" w:eastAsiaTheme="minorEastAsia"/>
          <w:b/>
          <w:color w:val="auto"/>
          <w:sz w:val="24"/>
          <w:szCs w:val="28"/>
        </w:rPr>
        <w:t>“三线一单”落地应用情况一览表</w:t>
      </w:r>
    </w:p>
    <w:tbl>
      <w:tblPr>
        <w:tblStyle w:val="19"/>
        <w:tblW w:w="0" w:type="auto"/>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710"/>
        <w:gridCol w:w="567"/>
        <w:gridCol w:w="3686"/>
        <w:gridCol w:w="302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32" w:type="dxa"/>
            <w:vAlign w:val="center"/>
          </w:tcPr>
          <w:p>
            <w:pPr>
              <w:pStyle w:val="17"/>
              <w:snapToGrid w:val="0"/>
              <w:spacing w:after="0"/>
              <w:ind w:left="0" w:leftChars="0" w:firstLine="0" w:firstLineChars="0"/>
              <w:jc w:val="center"/>
              <w:rPr>
                <w:rFonts w:ascii="Times New Roman" w:hAnsi="Times New Roman" w:eastAsiaTheme="minorEastAsia"/>
                <w:b/>
                <w:color w:val="auto"/>
                <w:sz w:val="22"/>
                <w:szCs w:val="28"/>
              </w:rPr>
            </w:pPr>
            <w:r>
              <w:rPr>
                <w:rFonts w:hint="eastAsia" w:ascii="Times New Roman" w:hAnsi="Times New Roman" w:eastAsiaTheme="minorEastAsia"/>
                <w:b/>
                <w:color w:val="auto"/>
                <w:sz w:val="22"/>
                <w:szCs w:val="28"/>
              </w:rPr>
              <w:t>序号</w:t>
            </w:r>
          </w:p>
        </w:tc>
        <w:tc>
          <w:tcPr>
            <w:tcW w:w="1277" w:type="dxa"/>
            <w:gridSpan w:val="2"/>
            <w:vAlign w:val="center"/>
          </w:tcPr>
          <w:p>
            <w:pPr>
              <w:pStyle w:val="17"/>
              <w:snapToGrid w:val="0"/>
              <w:spacing w:after="0"/>
              <w:ind w:left="0" w:leftChars="0" w:firstLine="0" w:firstLineChars="0"/>
              <w:jc w:val="center"/>
              <w:rPr>
                <w:rFonts w:ascii="Times New Roman" w:hAnsi="Times New Roman" w:eastAsiaTheme="minorEastAsia"/>
                <w:b/>
                <w:color w:val="auto"/>
                <w:sz w:val="22"/>
                <w:szCs w:val="28"/>
              </w:rPr>
            </w:pPr>
            <w:r>
              <w:rPr>
                <w:rFonts w:hint="eastAsia" w:ascii="Times New Roman" w:hAnsi="Times New Roman" w:eastAsiaTheme="minorEastAsia"/>
                <w:b/>
                <w:color w:val="auto"/>
                <w:sz w:val="22"/>
                <w:szCs w:val="28"/>
              </w:rPr>
              <w:t>管控维度</w:t>
            </w:r>
          </w:p>
        </w:tc>
        <w:tc>
          <w:tcPr>
            <w:tcW w:w="3686" w:type="dxa"/>
            <w:vAlign w:val="center"/>
          </w:tcPr>
          <w:p>
            <w:pPr>
              <w:pStyle w:val="17"/>
              <w:snapToGrid w:val="0"/>
              <w:spacing w:after="0"/>
              <w:ind w:left="0" w:leftChars="0" w:firstLine="0" w:firstLineChars="0"/>
              <w:jc w:val="center"/>
              <w:rPr>
                <w:rFonts w:ascii="Times New Roman" w:hAnsi="Times New Roman" w:eastAsiaTheme="minorEastAsia"/>
                <w:b/>
                <w:color w:val="auto"/>
                <w:sz w:val="22"/>
                <w:szCs w:val="28"/>
              </w:rPr>
            </w:pPr>
            <w:r>
              <w:rPr>
                <w:rFonts w:hint="eastAsia" w:ascii="Times New Roman" w:hAnsi="Times New Roman" w:eastAsiaTheme="minorEastAsia"/>
                <w:b/>
                <w:color w:val="auto"/>
                <w:sz w:val="22"/>
                <w:szCs w:val="28"/>
              </w:rPr>
              <w:t>管控要求</w:t>
            </w:r>
          </w:p>
        </w:tc>
        <w:tc>
          <w:tcPr>
            <w:tcW w:w="3027" w:type="dxa"/>
            <w:vAlign w:val="center"/>
          </w:tcPr>
          <w:p>
            <w:pPr>
              <w:pStyle w:val="17"/>
              <w:snapToGrid w:val="0"/>
              <w:spacing w:after="0"/>
              <w:ind w:left="0" w:leftChars="0" w:firstLine="0" w:firstLineChars="0"/>
              <w:jc w:val="center"/>
              <w:rPr>
                <w:rFonts w:ascii="Times New Roman" w:hAnsi="Times New Roman" w:eastAsiaTheme="minorEastAsia"/>
                <w:b/>
                <w:color w:val="auto"/>
                <w:sz w:val="22"/>
                <w:szCs w:val="28"/>
              </w:rPr>
            </w:pPr>
            <w:r>
              <w:rPr>
                <w:rFonts w:hint="eastAsia" w:ascii="Times New Roman" w:hAnsi="Times New Roman" w:eastAsiaTheme="minorEastAsia"/>
                <w:b/>
                <w:color w:val="auto"/>
                <w:sz w:val="22"/>
                <w:szCs w:val="28"/>
              </w:rPr>
              <w:t>落地应用情况</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2" w:type="dxa"/>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1</w:t>
            </w:r>
          </w:p>
        </w:tc>
        <w:tc>
          <w:tcPr>
            <w:tcW w:w="1277" w:type="dxa"/>
            <w:gridSpan w:val="2"/>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空间布局约束</w:t>
            </w:r>
          </w:p>
        </w:tc>
        <w:tc>
          <w:tcPr>
            <w:tcW w:w="3686" w:type="dxa"/>
            <w:vAlign w:val="center"/>
          </w:tcPr>
          <w:p>
            <w:pPr>
              <w:pStyle w:val="17"/>
              <w:snapToGrid w:val="0"/>
              <w:spacing w:after="0"/>
              <w:ind w:left="0" w:leftChars="0" w:firstLine="0" w:firstLineChars="0"/>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 xml:space="preserve">（（1.1）开发区引进企业应当符合“沅陵县产业准入负面清单”的有关规定。  </w:t>
            </w:r>
          </w:p>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1"/>
                <w:szCs w:val="21"/>
              </w:rPr>
              <w:t>（1.2）园区内不设居住用地，开发区不新建三类工业项目</w:t>
            </w:r>
            <w:r>
              <w:rPr>
                <w:rFonts w:hint="eastAsia" w:ascii="Times New Roman" w:hAnsi="Times New Roman" w:eastAsiaTheme="minorEastAsia"/>
                <w:color w:val="auto"/>
                <w:sz w:val="21"/>
                <w:szCs w:val="21"/>
                <w:lang w:eastAsia="zh-CN"/>
              </w:rPr>
              <w:t>。</w:t>
            </w:r>
            <w:r>
              <w:rPr>
                <w:rFonts w:hint="eastAsia" w:ascii="Times New Roman" w:hAnsi="Times New Roman" w:eastAsiaTheme="minorEastAsia"/>
                <w:color w:val="auto"/>
                <w:sz w:val="21"/>
                <w:szCs w:val="21"/>
              </w:rPr>
              <w:t xml:space="preserve">   </w:t>
            </w:r>
          </w:p>
        </w:tc>
        <w:tc>
          <w:tcPr>
            <w:tcW w:w="3027" w:type="dxa"/>
            <w:vAlign w:val="center"/>
          </w:tcPr>
          <w:p>
            <w:pPr>
              <w:pStyle w:val="17"/>
              <w:snapToGrid w:val="0"/>
              <w:spacing w:after="0"/>
              <w:ind w:left="0" w:leftChars="0" w:firstLine="0" w:firstLineChars="0"/>
              <w:rPr>
                <w:rFonts w:hint="eastAsia" w:ascii="Times New Roman" w:hAnsi="Times New Roman" w:eastAsiaTheme="minorEastAsia"/>
                <w:color w:val="auto"/>
                <w:sz w:val="22"/>
                <w:szCs w:val="28"/>
              </w:rPr>
            </w:pPr>
            <w:r>
              <w:rPr>
                <w:rFonts w:hint="eastAsia" w:ascii="Times New Roman" w:hAnsi="Times New Roman" w:eastAsiaTheme="minorEastAsia"/>
                <w:color w:val="auto"/>
                <w:sz w:val="22"/>
                <w:szCs w:val="28"/>
              </w:rPr>
              <w:t>（1.1）通过与《湖南省新增19个国家重点生态功能区产业准入负面清单（试行）》中“沅陵县产业准入负面清单”对比分析可知，园区核准范围内现有企业符合“沅陵县产业准入负面清单”的管控要求。。</w:t>
            </w:r>
          </w:p>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（1.2）园区现设有三个安置点，用于安置园区拆迁居民，分别为位于园区西北面的高岩安置点、园区东面的刘家安置点、园区中北面的岩湾安置点，除岩湾安置点 外其余已建安置点均位于核准范围内，现状安置点设置不符合“园区内不设居住用地”要求。园区核准范围内无三类工业用地。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32" w:type="dxa"/>
            <w:vMerge w:val="restart"/>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2</w:t>
            </w:r>
          </w:p>
        </w:tc>
        <w:tc>
          <w:tcPr>
            <w:tcW w:w="710" w:type="dxa"/>
            <w:vMerge w:val="restart"/>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污染物排放管控</w:t>
            </w:r>
          </w:p>
        </w:tc>
        <w:tc>
          <w:tcPr>
            <w:tcW w:w="567" w:type="dxa"/>
            <w:vMerge w:val="restart"/>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废水</w:t>
            </w:r>
          </w:p>
        </w:tc>
        <w:tc>
          <w:tcPr>
            <w:tcW w:w="3686" w:type="dxa"/>
            <w:vAlign w:val="center"/>
          </w:tcPr>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（2.1.1）园区实施雨污分流，工业废水、生活污水经沅陵工业园园区污水处理厂处理达标后排入蓝溪河，汇入沅江。</w:t>
            </w:r>
          </w:p>
        </w:tc>
        <w:tc>
          <w:tcPr>
            <w:tcW w:w="3027" w:type="dxa"/>
            <w:vAlign w:val="center"/>
          </w:tcPr>
          <w:p>
            <w:pPr>
              <w:pStyle w:val="17"/>
              <w:snapToGrid w:val="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园区雨、污水管网建设较为完善，园区现状生活污水和生产废水均进入沅陵县产业开发区污水处理站进行处理达标后排入蓝溪河、最终汇入沅江。</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32" w:type="dxa"/>
            <w:vMerge w:val="continue"/>
            <w:vAlign w:val="center"/>
          </w:tcPr>
          <w:p>
            <w:pPr>
              <w:pStyle w:val="17"/>
              <w:snapToGrid w:val="0"/>
              <w:spacing w:after="0"/>
              <w:ind w:left="0" w:leftChars="0" w:firstLine="0" w:firstLineChars="0"/>
              <w:rPr>
                <w:rFonts w:ascii="Times New Roman" w:hAnsi="Times New Roman" w:eastAsiaTheme="minorEastAsia"/>
                <w:color w:val="auto"/>
                <w:sz w:val="22"/>
                <w:szCs w:val="28"/>
              </w:rPr>
            </w:pPr>
          </w:p>
        </w:tc>
        <w:tc>
          <w:tcPr>
            <w:tcW w:w="710" w:type="dxa"/>
            <w:vMerge w:val="continue"/>
            <w:vAlign w:val="center"/>
          </w:tcPr>
          <w:p>
            <w:pPr>
              <w:pStyle w:val="17"/>
              <w:snapToGrid w:val="0"/>
              <w:spacing w:after="0"/>
              <w:ind w:left="0" w:leftChars="0" w:firstLine="0" w:firstLineChars="0"/>
              <w:rPr>
                <w:rFonts w:ascii="Times New Roman" w:hAnsi="Times New Roman" w:eastAsiaTheme="minorEastAsia"/>
                <w:color w:val="auto"/>
                <w:sz w:val="22"/>
                <w:szCs w:val="28"/>
              </w:rPr>
            </w:pPr>
          </w:p>
        </w:tc>
        <w:tc>
          <w:tcPr>
            <w:tcW w:w="567" w:type="dxa"/>
            <w:vMerge w:val="continue"/>
            <w:vAlign w:val="center"/>
          </w:tcPr>
          <w:p>
            <w:pPr>
              <w:pStyle w:val="17"/>
              <w:snapToGrid w:val="0"/>
              <w:spacing w:after="0"/>
              <w:ind w:left="0" w:leftChars="0" w:firstLine="0" w:firstLineChars="0"/>
              <w:rPr>
                <w:rFonts w:ascii="Times New Roman" w:hAnsi="Times New Roman" w:eastAsiaTheme="minorEastAsia"/>
                <w:color w:val="auto"/>
                <w:sz w:val="22"/>
                <w:szCs w:val="28"/>
              </w:rPr>
            </w:pPr>
          </w:p>
        </w:tc>
        <w:tc>
          <w:tcPr>
            <w:tcW w:w="3686" w:type="dxa"/>
            <w:vAlign w:val="center"/>
          </w:tcPr>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（2.1.2）园区内企业及路面雨水收集后排入园区雨水管道系统，最后排入园区外市政雨水排水管，经园区北面的常吉高速公路沅陵县城连接线向西北流经1.4km排入蓝溪河。</w:t>
            </w:r>
          </w:p>
        </w:tc>
        <w:tc>
          <w:tcPr>
            <w:tcW w:w="3027" w:type="dxa"/>
            <w:vAlign w:val="center"/>
          </w:tcPr>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园区排水采用雨污分流制，雨水经厂内雨水管网进入园区雨水管网，最后排入园区外市政雨水排水管，经园区北面的常吉高速连接线向北流经1.4km 排入蓝溪河。园区内已开发区域雨水管网已建设完善。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532" w:type="dxa"/>
            <w:vMerge w:val="continue"/>
            <w:vAlign w:val="center"/>
          </w:tcPr>
          <w:p>
            <w:pPr>
              <w:pStyle w:val="17"/>
              <w:snapToGrid w:val="0"/>
              <w:spacing w:after="0"/>
              <w:ind w:left="0" w:leftChars="0" w:firstLine="0" w:firstLineChars="0"/>
              <w:rPr>
                <w:rFonts w:ascii="Times New Roman" w:hAnsi="Times New Roman" w:eastAsiaTheme="minorEastAsia"/>
                <w:color w:val="auto"/>
                <w:sz w:val="22"/>
                <w:szCs w:val="28"/>
              </w:rPr>
            </w:pPr>
          </w:p>
        </w:tc>
        <w:tc>
          <w:tcPr>
            <w:tcW w:w="710" w:type="dxa"/>
            <w:vMerge w:val="continue"/>
            <w:vAlign w:val="center"/>
          </w:tcPr>
          <w:p>
            <w:pPr>
              <w:pStyle w:val="17"/>
              <w:snapToGrid w:val="0"/>
              <w:spacing w:after="0"/>
              <w:ind w:left="0" w:leftChars="0" w:firstLine="0" w:firstLineChars="0"/>
              <w:rPr>
                <w:rFonts w:ascii="Times New Roman" w:hAnsi="Times New Roman" w:eastAsiaTheme="minorEastAsia"/>
                <w:color w:val="auto"/>
                <w:sz w:val="22"/>
                <w:szCs w:val="28"/>
              </w:rPr>
            </w:pPr>
          </w:p>
        </w:tc>
        <w:tc>
          <w:tcPr>
            <w:tcW w:w="567" w:type="dxa"/>
            <w:vMerge w:val="restart"/>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废气</w:t>
            </w:r>
          </w:p>
        </w:tc>
        <w:tc>
          <w:tcPr>
            <w:tcW w:w="3686" w:type="dxa"/>
            <w:vAlign w:val="center"/>
          </w:tcPr>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（2.2.1）加强入园企业环保管理，督促企业配套建设污染防治设施，确保废气处理后达到国家相应标准。加强生产工艺研究与技术改进，采取有效措施，减少园区内工艺废气的无组织排放。</w:t>
            </w:r>
          </w:p>
        </w:tc>
        <w:tc>
          <w:tcPr>
            <w:tcW w:w="3027" w:type="dxa"/>
            <w:vAlign w:val="center"/>
          </w:tcPr>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.园区内现有企业的配套污染防治设施均较完善，废气经处理后均能实现达标排放。采取有效措施，减少园区内工艺废气的无组织排放。</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532" w:type="dxa"/>
            <w:vMerge w:val="continue"/>
            <w:vAlign w:val="center"/>
          </w:tcPr>
          <w:p>
            <w:pPr>
              <w:pStyle w:val="17"/>
              <w:snapToGrid w:val="0"/>
              <w:spacing w:after="0"/>
              <w:ind w:left="0" w:leftChars="0" w:firstLine="0" w:firstLineChars="0"/>
              <w:rPr>
                <w:rFonts w:ascii="Times New Roman" w:hAnsi="Times New Roman" w:eastAsiaTheme="minorEastAsia"/>
                <w:color w:val="auto"/>
                <w:sz w:val="22"/>
                <w:szCs w:val="28"/>
              </w:rPr>
            </w:pPr>
          </w:p>
        </w:tc>
        <w:tc>
          <w:tcPr>
            <w:tcW w:w="710" w:type="dxa"/>
            <w:vMerge w:val="continue"/>
            <w:vAlign w:val="center"/>
          </w:tcPr>
          <w:p>
            <w:pPr>
              <w:pStyle w:val="17"/>
              <w:snapToGrid w:val="0"/>
              <w:spacing w:after="0"/>
              <w:ind w:left="0" w:leftChars="0" w:firstLine="0" w:firstLineChars="0"/>
              <w:rPr>
                <w:rFonts w:ascii="Times New Roman" w:hAnsi="Times New Roman" w:eastAsiaTheme="minorEastAsia"/>
                <w:color w:val="auto"/>
                <w:sz w:val="22"/>
                <w:szCs w:val="28"/>
              </w:rPr>
            </w:pPr>
          </w:p>
        </w:tc>
        <w:tc>
          <w:tcPr>
            <w:tcW w:w="567" w:type="dxa"/>
            <w:vMerge w:val="continue"/>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p>
        </w:tc>
        <w:tc>
          <w:tcPr>
            <w:tcW w:w="3686" w:type="dxa"/>
            <w:vAlign w:val="center"/>
          </w:tcPr>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（2.2.2）加快推进包装印刷等行业挥发性有机物（VOCs）综合治理。园区内水泥、有色金属等行业及涉锅炉大气污染物排放应满足《湖南省生态环境厅关于执行污染物特别排放限值（第一批）的公告》中的要求。</w:t>
            </w:r>
          </w:p>
        </w:tc>
        <w:tc>
          <w:tcPr>
            <w:tcW w:w="3027" w:type="dxa"/>
            <w:vAlign w:val="center"/>
          </w:tcPr>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园区内不涉及包装印刷、水泥等行业，无涉及《湖南省生态环境厅关于执行污染物特别排放限值（第一批）的公告》中的行业。</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2" w:type="dxa"/>
            <w:vMerge w:val="continue"/>
            <w:vAlign w:val="center"/>
          </w:tcPr>
          <w:p>
            <w:pPr>
              <w:pStyle w:val="17"/>
              <w:snapToGrid w:val="0"/>
              <w:spacing w:after="0"/>
              <w:ind w:left="0" w:leftChars="0" w:firstLine="0" w:firstLineChars="0"/>
              <w:rPr>
                <w:rFonts w:ascii="Times New Roman" w:hAnsi="Times New Roman" w:eastAsiaTheme="minorEastAsia"/>
                <w:color w:val="auto"/>
                <w:sz w:val="22"/>
                <w:szCs w:val="28"/>
              </w:rPr>
            </w:pPr>
          </w:p>
        </w:tc>
        <w:tc>
          <w:tcPr>
            <w:tcW w:w="710" w:type="dxa"/>
            <w:vMerge w:val="continue"/>
            <w:vAlign w:val="center"/>
          </w:tcPr>
          <w:p>
            <w:pPr>
              <w:pStyle w:val="17"/>
              <w:snapToGrid w:val="0"/>
              <w:spacing w:after="0"/>
              <w:ind w:left="0" w:leftChars="0" w:firstLine="0" w:firstLineChars="0"/>
              <w:rPr>
                <w:rFonts w:ascii="Times New Roman" w:hAnsi="Times New Roman" w:eastAsiaTheme="minorEastAsia"/>
                <w:color w:val="auto"/>
                <w:sz w:val="22"/>
                <w:szCs w:val="28"/>
              </w:rPr>
            </w:pPr>
          </w:p>
        </w:tc>
        <w:tc>
          <w:tcPr>
            <w:tcW w:w="567" w:type="dxa"/>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固废</w:t>
            </w:r>
          </w:p>
        </w:tc>
        <w:tc>
          <w:tcPr>
            <w:tcW w:w="3686" w:type="dxa"/>
            <w:vAlign w:val="center"/>
          </w:tcPr>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lang w:eastAsia="zh-CN"/>
              </w:rPr>
              <w:t>（</w:t>
            </w:r>
            <w:r>
              <w:rPr>
                <w:rFonts w:hint="eastAsia" w:ascii="Times New Roman" w:hAnsi="Times New Roman" w:eastAsiaTheme="minorEastAsia"/>
                <w:color w:val="auto"/>
                <w:sz w:val="22"/>
                <w:szCs w:val="28"/>
              </w:rPr>
              <w:t>2.3）做好工业固体废物和生活垃圾的分类收集、转运、综合利用和无害化处理，规范固体废物处理措施，对工业企业产生固体废物特别是危险固废应按国家有关规定综合利用或妥善处置，严防二次污染</w:t>
            </w:r>
          </w:p>
        </w:tc>
        <w:tc>
          <w:tcPr>
            <w:tcW w:w="3027" w:type="dxa"/>
            <w:vAlign w:val="center"/>
          </w:tcPr>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1"/>
                <w:szCs w:val="21"/>
              </w:rPr>
              <w:t>园区内相关企业已做好工业固体废物和生活垃圾分类收集贮存、转运、综合利用和无害化处理。园区的生活垃圾经收集后送沅陵县生活垃圾无害化处理场处置，一般工业固体废物由各企业回收利用或暂存，危险废物由企业暂存再交有资质单位回收处理。</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2" w:type="dxa"/>
            <w:vAlign w:val="center"/>
          </w:tcPr>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3</w:t>
            </w:r>
          </w:p>
        </w:tc>
        <w:tc>
          <w:tcPr>
            <w:tcW w:w="1277" w:type="dxa"/>
            <w:gridSpan w:val="2"/>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环境风险防控</w:t>
            </w:r>
          </w:p>
        </w:tc>
        <w:tc>
          <w:tcPr>
            <w:tcW w:w="3686" w:type="dxa"/>
            <w:vAlign w:val="center"/>
          </w:tcPr>
          <w:p>
            <w:pPr>
              <w:pStyle w:val="17"/>
              <w:snapToGrid w:val="0"/>
              <w:spacing w:after="0"/>
              <w:ind w:left="0" w:leftChars="0" w:firstLine="0" w:firstLineChars="0"/>
              <w:rPr>
                <w:rFonts w:hint="eastAsia" w:ascii="Times New Roman" w:hAnsi="Times New Roman" w:eastAsiaTheme="minorEastAsia"/>
                <w:color w:val="auto"/>
                <w:sz w:val="22"/>
                <w:szCs w:val="28"/>
              </w:rPr>
            </w:pPr>
            <w:r>
              <w:rPr>
                <w:rFonts w:hint="eastAsia" w:ascii="Times New Roman" w:hAnsi="Times New Roman" w:eastAsiaTheme="minorEastAsia"/>
                <w:color w:val="auto"/>
                <w:sz w:val="22"/>
                <w:szCs w:val="28"/>
              </w:rPr>
              <w:t>（3.1）园区应建立健全环境风险防控体系，加强区内重要风险源管控。加强园区危险化学品储运的环境风险管理，严格落实应急响应联动机制，确保区域环境安全。强化环境监督管理，根据湖南沅陵工业集中区突发环境事件应急预案要求，健全环境风险事故防范措施，严防环境风险事故发生。（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pStyle w:val="17"/>
              <w:snapToGrid w:val="0"/>
              <w:spacing w:after="0"/>
              <w:ind w:left="0" w:leftChars="0" w:firstLine="0" w:firstLineChars="0"/>
              <w:rPr>
                <w:rFonts w:hint="eastAsia" w:ascii="Times New Roman" w:hAnsi="Times New Roman" w:eastAsiaTheme="minorEastAsia"/>
                <w:color w:val="auto"/>
                <w:sz w:val="22"/>
                <w:szCs w:val="28"/>
              </w:rPr>
            </w:pPr>
            <w:r>
              <w:rPr>
                <w:rFonts w:hint="eastAsia" w:ascii="Times New Roman" w:hAnsi="Times New Roman" w:eastAsiaTheme="minorEastAsia"/>
                <w:color w:val="auto"/>
                <w:sz w:val="22"/>
                <w:szCs w:val="28"/>
              </w:rPr>
              <w:t>（3.3）建设用地土壤风险防控：加强对建设用地土壤环境状况调查、风险评估和污染地块治理与修复活动的监管。</w:t>
            </w:r>
          </w:p>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（3.4）农用地风险防控：防控企业污染，已建成的相关企业应当按照有关标准、规定采取措施，防止对耕地造成污染。</w:t>
            </w:r>
          </w:p>
        </w:tc>
        <w:tc>
          <w:tcPr>
            <w:tcW w:w="3027" w:type="dxa"/>
            <w:vAlign w:val="center"/>
          </w:tcPr>
          <w:p>
            <w:pPr>
              <w:pStyle w:val="17"/>
              <w:snapToGrid w:val="0"/>
              <w:spacing w:after="0"/>
              <w:ind w:left="0" w:leftChars="0" w:firstLine="0" w:firstLineChars="0"/>
              <w:rPr>
                <w:rFonts w:hint="eastAsia" w:ascii="Times New Roman" w:hAnsi="Times New Roman" w:eastAsiaTheme="minorEastAsia"/>
                <w:color w:val="auto"/>
                <w:sz w:val="22"/>
                <w:szCs w:val="28"/>
              </w:rPr>
            </w:pPr>
            <w:r>
              <w:rPr>
                <w:rFonts w:hint="eastAsia" w:ascii="Times New Roman" w:hAnsi="Times New Roman" w:eastAsiaTheme="minorEastAsia"/>
                <w:color w:val="auto"/>
                <w:sz w:val="22"/>
                <w:szCs w:val="28"/>
              </w:rPr>
              <w:t>（3.1）园区已建立了专职环境监督管理机构，由管委会主要领导分管环保工作，设置了环保专干人员；并按要求编制了突发环境事件应急预案（备案号为4312222019001L）、完善了环境风险事故防范措施，储备了环境应急物资及装备，并严格按照园区应急预案的要求每年组织开展应急演练。</w:t>
            </w:r>
          </w:p>
          <w:p>
            <w:pPr>
              <w:pStyle w:val="17"/>
              <w:snapToGrid w:val="0"/>
              <w:spacing w:after="0"/>
              <w:ind w:left="0" w:leftChars="0" w:firstLine="0" w:firstLineChars="0"/>
              <w:rPr>
                <w:rFonts w:hint="eastAsia" w:ascii="Times New Roman" w:hAnsi="Times New Roman" w:eastAsiaTheme="minorEastAsia"/>
                <w:color w:val="auto"/>
                <w:sz w:val="22"/>
                <w:szCs w:val="28"/>
              </w:rPr>
            </w:pPr>
            <w:r>
              <w:rPr>
                <w:rFonts w:hint="eastAsia" w:ascii="Times New Roman" w:hAnsi="Times New Roman" w:eastAsiaTheme="minorEastAsia"/>
                <w:color w:val="auto"/>
                <w:sz w:val="22"/>
                <w:szCs w:val="28"/>
              </w:rPr>
              <w:t>（3.2）园区已督促可能发生突发环境事件的 企业进行环境应急预案编制，部分企业已完成了备案。</w:t>
            </w:r>
          </w:p>
          <w:p>
            <w:pPr>
              <w:pStyle w:val="17"/>
              <w:snapToGrid w:val="0"/>
              <w:spacing w:after="0"/>
              <w:ind w:left="0" w:leftChars="0" w:firstLine="0" w:firstLineChars="0"/>
              <w:rPr>
                <w:rFonts w:hint="eastAsia" w:ascii="Times New Roman" w:hAnsi="Times New Roman" w:eastAsiaTheme="minorEastAsia"/>
                <w:color w:val="auto"/>
                <w:sz w:val="22"/>
                <w:szCs w:val="28"/>
              </w:rPr>
            </w:pPr>
            <w:r>
              <w:rPr>
                <w:rFonts w:hint="eastAsia" w:ascii="Times New Roman" w:hAnsi="Times New Roman" w:eastAsiaTheme="minorEastAsia"/>
                <w:color w:val="auto"/>
                <w:sz w:val="22"/>
                <w:szCs w:val="28"/>
              </w:rPr>
              <w:t>（3.3）园区在园区跟踪环境影响评价过程中委托有资质的第三方监测公司对园区内北部农田、园区内南部以及园区内污水处理厂三个监测点位的建设用地开展了土壤环境质量现状检测，根据相关检测结果，项目区域内建设用地土壤环境各项评价因子均满足《土壤环境质量 建设用地土壤污染风险管控标准》（GB36600-2018）中表1第二类用地的标准限值要求；开发区周边农用地土壤执行《土壤环境质量 农用地土壤污染风险管控标准》（试行）（GB15618-2018）中风险筛选值和管控值；园区内未涉及污染地块</w:t>
            </w:r>
          </w:p>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（3.4）园区严格防控企业污染农用地，做到废水应收尽收、废气达标排放、固废妥善处置。气达标排放、固废妥善处置。</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2" w:type="dxa"/>
            <w:vMerge w:val="restart"/>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4</w:t>
            </w:r>
          </w:p>
        </w:tc>
        <w:tc>
          <w:tcPr>
            <w:tcW w:w="710" w:type="dxa"/>
            <w:vMerge w:val="restart"/>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资源开发</w:t>
            </w:r>
            <w:r>
              <w:rPr>
                <w:rFonts w:ascii="Times New Roman" w:hAnsi="Times New Roman" w:eastAsiaTheme="minorEastAsia"/>
                <w:color w:val="auto"/>
                <w:sz w:val="22"/>
                <w:szCs w:val="28"/>
              </w:rPr>
              <w:t xml:space="preserve"> 效率要求</w:t>
            </w:r>
          </w:p>
        </w:tc>
        <w:tc>
          <w:tcPr>
            <w:tcW w:w="567" w:type="dxa"/>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能源</w:t>
            </w:r>
          </w:p>
        </w:tc>
        <w:tc>
          <w:tcPr>
            <w:tcW w:w="3686" w:type="dxa"/>
            <w:vAlign w:val="center"/>
          </w:tcPr>
          <w:p>
            <w:pPr>
              <w:pStyle w:val="17"/>
              <w:snapToGrid w:val="0"/>
              <w:spacing w:after="0"/>
              <w:ind w:left="0" w:leftChars="0" w:firstLine="0" w:firstLineChars="0"/>
              <w:rPr>
                <w:rFonts w:hint="eastAsia" w:ascii="Times New Roman" w:hAnsi="Times New Roman" w:eastAsiaTheme="minorEastAsia"/>
                <w:color w:val="auto"/>
                <w:sz w:val="22"/>
                <w:szCs w:val="28"/>
              </w:rPr>
            </w:pPr>
            <w:r>
              <w:rPr>
                <w:rFonts w:hint="eastAsia" w:ascii="Times New Roman" w:hAnsi="Times New Roman" w:eastAsiaTheme="minorEastAsia"/>
                <w:color w:val="auto"/>
                <w:sz w:val="22"/>
                <w:szCs w:val="28"/>
              </w:rPr>
              <w:t>（4.1.1）管委会应做好园区内低硫煤的统一调配和供应，并积极推广清洁能源.</w:t>
            </w:r>
          </w:p>
          <w:p>
            <w:pPr>
              <w:pStyle w:val="17"/>
              <w:snapToGrid w:val="0"/>
              <w:spacing w:after="0"/>
              <w:ind w:left="0" w:leftChars="0" w:firstLine="0" w:firstLineChars="0"/>
              <w:rPr>
                <w:rFonts w:hint="eastAsia" w:ascii="Times New Roman" w:hAnsi="Times New Roman" w:eastAsiaTheme="minorEastAsia"/>
                <w:color w:val="auto"/>
                <w:sz w:val="22"/>
                <w:szCs w:val="28"/>
              </w:rPr>
            </w:pPr>
            <w:r>
              <w:rPr>
                <w:rFonts w:hint="eastAsia" w:ascii="Times New Roman" w:hAnsi="Times New Roman" w:eastAsiaTheme="minorEastAsia"/>
                <w:color w:val="auto"/>
                <w:sz w:val="22"/>
                <w:szCs w:val="28"/>
              </w:rPr>
              <w:t>（4.1.2）实施能源消耗总量和强度双控行动，逐步建立用能预算管理体系，编制用能预算管理方案。</w:t>
            </w:r>
          </w:p>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（4.1.3）到2020年，单位GDP能耗0.423吨标准煤/万元，单位增加值能耗0.337吨标准煤/万元。到2025年，单位GDP能耗0.395吨标准煤/万元，单位增加值能耗 0.314 吨标准煤/万元。</w:t>
            </w:r>
          </w:p>
        </w:tc>
        <w:tc>
          <w:tcPr>
            <w:tcW w:w="3027" w:type="dxa"/>
            <w:vAlign w:val="center"/>
          </w:tcPr>
          <w:p>
            <w:pPr>
              <w:pStyle w:val="17"/>
              <w:snapToGrid w:val="0"/>
              <w:spacing w:after="0"/>
              <w:ind w:left="0" w:leftChars="0" w:firstLine="0" w:firstLineChars="0"/>
              <w:rPr>
                <w:rFonts w:hint="eastAsia" w:ascii="Times New Roman" w:hAnsi="Times New Roman" w:cs="Times New Roman" w:eastAsiaTheme="minorEastAsia"/>
                <w:color w:val="auto"/>
                <w:sz w:val="22"/>
                <w:szCs w:val="28"/>
              </w:rPr>
            </w:pPr>
            <w:r>
              <w:rPr>
                <w:rFonts w:hint="eastAsia" w:ascii="Times New Roman" w:hAnsi="Times New Roman" w:cs="Times New Roman" w:eastAsiaTheme="minorEastAsia"/>
                <w:color w:val="auto"/>
                <w:sz w:val="22"/>
                <w:szCs w:val="28"/>
              </w:rPr>
              <w:t>（4.1.1）采用电、天然气等清洁能源，完善区域内天然气供应管网、集中供热设施及管网的建设，禁止入驻企业使用燃煤、重油等非清洁能源，目前园区内已无燃煤企业。</w:t>
            </w:r>
          </w:p>
          <w:p>
            <w:pPr>
              <w:pStyle w:val="17"/>
              <w:snapToGrid w:val="0"/>
              <w:spacing w:after="0"/>
              <w:ind w:left="0" w:leftChars="0" w:firstLine="0" w:firstLineChars="0"/>
              <w:rPr>
                <w:rFonts w:hint="eastAsia" w:ascii="Times New Roman" w:hAnsi="Times New Roman" w:cs="Times New Roman" w:eastAsiaTheme="minorEastAsia"/>
                <w:color w:val="auto"/>
                <w:sz w:val="22"/>
                <w:szCs w:val="28"/>
              </w:rPr>
            </w:pPr>
            <w:r>
              <w:rPr>
                <w:rFonts w:hint="eastAsia" w:ascii="Times New Roman" w:hAnsi="Times New Roman" w:cs="Times New Roman" w:eastAsiaTheme="minorEastAsia"/>
                <w:color w:val="auto"/>
                <w:sz w:val="22"/>
                <w:szCs w:val="28"/>
              </w:rPr>
              <w:t>（4.1.2）园区实施能源消耗总量和强度双控行动，建立了用能预算管理体系，编制了用能预算管理方案。并编制完成了《沅陵产业开发区区域节能报告》</w:t>
            </w:r>
          </w:p>
          <w:p>
            <w:pPr>
              <w:pStyle w:val="17"/>
              <w:snapToGrid w:val="0"/>
              <w:spacing w:after="0"/>
              <w:ind w:left="0" w:leftChars="0" w:firstLine="0" w:firstLineChars="0"/>
              <w:rPr>
                <w:color w:val="auto"/>
              </w:rPr>
            </w:pPr>
            <w:r>
              <w:rPr>
                <w:rFonts w:hint="eastAsia" w:ascii="Times New Roman" w:hAnsi="Times New Roman" w:cs="Times New Roman" w:eastAsiaTheme="minorEastAsia"/>
                <w:color w:val="auto"/>
                <w:sz w:val="22"/>
                <w:szCs w:val="28"/>
              </w:rPr>
              <w:t>（4.1.3）根据《沅陵产业开发区区域节能报告》：到 2020 年，单位 GDP 能耗 0.3074 吨标准煤/万元，单位 增加值能耗 0.3842 吨标准煤/万元。到 2025 年，单位 GDP 能耗 0.2618 吨标准煤 /万元，单位增加值能耗 0.2804 吨标准煤/万元。</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2" w:type="dxa"/>
            <w:vMerge w:val="continue"/>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p>
        </w:tc>
        <w:tc>
          <w:tcPr>
            <w:tcW w:w="710" w:type="dxa"/>
            <w:vMerge w:val="continue"/>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p>
        </w:tc>
        <w:tc>
          <w:tcPr>
            <w:tcW w:w="567" w:type="dxa"/>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水资源</w:t>
            </w:r>
          </w:p>
        </w:tc>
        <w:tc>
          <w:tcPr>
            <w:tcW w:w="3686" w:type="dxa"/>
            <w:vAlign w:val="center"/>
          </w:tcPr>
          <w:p>
            <w:pPr>
              <w:pStyle w:val="17"/>
              <w:snapToGrid w:val="0"/>
              <w:spacing w:after="0"/>
              <w:ind w:left="0" w:leftChars="0" w:firstLine="0" w:firstLineChars="0"/>
              <w:rPr>
                <w:rFonts w:hint="eastAsia" w:ascii="Times New Roman" w:hAnsi="Times New Roman" w:eastAsiaTheme="minorEastAsia"/>
                <w:color w:val="auto"/>
                <w:sz w:val="22"/>
                <w:szCs w:val="28"/>
              </w:rPr>
            </w:pPr>
            <w:r>
              <w:rPr>
                <w:rFonts w:hint="eastAsia" w:ascii="Times New Roman" w:hAnsi="Times New Roman" w:eastAsiaTheme="minorEastAsia"/>
                <w:color w:val="auto"/>
                <w:sz w:val="22"/>
                <w:szCs w:val="28"/>
              </w:rPr>
              <w:t>（4.2.1）园区强调建设节水型工业，以降低生产成本和资源。一方面要对工业用水坚持按照定额用水，实行计划用水管理，另一方面要建立循环用水体系，鼓励企业实施污水处理工程，实现循环用水，强化中水利用，提高水的重复利用率。</w:t>
            </w:r>
          </w:p>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（4.2.2）加强水资源管理，切实合理开发利用和节约保护水资源。到 2020 年，沅陵县水资源开发利用总量控制在2.01亿立方米以下，万元工业增加值用水量控制在67立方米/万元以下。</w:t>
            </w:r>
          </w:p>
        </w:tc>
        <w:tc>
          <w:tcPr>
            <w:tcW w:w="3027" w:type="dxa"/>
            <w:vAlign w:val="center"/>
          </w:tcPr>
          <w:p>
            <w:pPr>
              <w:pStyle w:val="17"/>
              <w:snapToGrid w:val="0"/>
              <w:spacing w:after="0"/>
              <w:ind w:left="0" w:leftChars="0" w:firstLine="0" w:firstLineChars="0"/>
              <w:rPr>
                <w:rFonts w:hint="eastAsia" w:ascii="Times New Roman" w:hAnsi="Times New Roman" w:eastAsiaTheme="minorEastAsia"/>
                <w:color w:val="auto"/>
                <w:sz w:val="22"/>
                <w:szCs w:val="28"/>
                <w:lang w:val="en-US" w:eastAsia="zh-CN"/>
              </w:rPr>
            </w:pPr>
            <w:r>
              <w:rPr>
                <w:rFonts w:hint="eastAsia" w:ascii="Times New Roman" w:hAnsi="Times New Roman" w:eastAsiaTheme="minorEastAsia"/>
                <w:color w:val="auto"/>
                <w:sz w:val="22"/>
                <w:szCs w:val="28"/>
                <w:lang w:val="en-US" w:eastAsia="zh-CN"/>
              </w:rPr>
              <w:t>（4.2.1）园区鼓励企业选用选择节水工艺，废水深度处理、循环利用，鼓励一水多用和中水回用，提高水的重复利用率，减少废水排放量。</w:t>
            </w:r>
          </w:p>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lang w:val="en-US" w:eastAsia="zh-CN"/>
              </w:rPr>
              <w:t>（4.2.2）园区现状万元工业增加值用水量为 20.4m</w:t>
            </w:r>
            <w:r>
              <w:rPr>
                <w:rFonts w:hint="eastAsia" w:ascii="Times New Roman" w:hAnsi="Times New Roman" w:eastAsiaTheme="minorEastAsia"/>
                <w:color w:val="auto"/>
                <w:sz w:val="22"/>
                <w:szCs w:val="28"/>
                <w:vertAlign w:val="superscript"/>
                <w:lang w:val="en-US" w:eastAsia="zh-CN"/>
              </w:rPr>
              <w:t>3</w:t>
            </w:r>
            <w:r>
              <w:rPr>
                <w:rFonts w:hint="eastAsia" w:ascii="Times New Roman" w:hAnsi="Times New Roman" w:eastAsiaTheme="minorEastAsia"/>
                <w:color w:val="auto"/>
                <w:sz w:val="22"/>
                <w:szCs w:val="28"/>
                <w:lang w:val="en-US" w:eastAsia="zh-CN"/>
              </w:rPr>
              <w:t>/万元，远小于沅陵县工业增加值用水量控制指标（67m</w:t>
            </w:r>
            <w:r>
              <w:rPr>
                <w:rFonts w:hint="eastAsia" w:ascii="Times New Roman" w:hAnsi="Times New Roman" w:eastAsiaTheme="minorEastAsia"/>
                <w:color w:val="auto"/>
                <w:sz w:val="22"/>
                <w:szCs w:val="28"/>
                <w:vertAlign w:val="superscript"/>
                <w:lang w:val="en-US" w:eastAsia="zh-CN"/>
              </w:rPr>
              <w:t>3</w:t>
            </w:r>
            <w:r>
              <w:rPr>
                <w:rFonts w:hint="eastAsia" w:ascii="Times New Roman" w:hAnsi="Times New Roman" w:eastAsiaTheme="minorEastAsia"/>
                <w:color w:val="auto"/>
                <w:sz w:val="22"/>
                <w:szCs w:val="28"/>
                <w:lang w:val="en-US" w:eastAsia="zh-CN"/>
              </w:rPr>
              <w:t>/万元）。</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32" w:type="dxa"/>
            <w:vMerge w:val="continue"/>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p>
        </w:tc>
        <w:tc>
          <w:tcPr>
            <w:tcW w:w="710" w:type="dxa"/>
            <w:vMerge w:val="continue"/>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p>
        </w:tc>
        <w:tc>
          <w:tcPr>
            <w:tcW w:w="567" w:type="dxa"/>
            <w:vAlign w:val="center"/>
          </w:tcPr>
          <w:p>
            <w:pPr>
              <w:pStyle w:val="17"/>
              <w:snapToGrid w:val="0"/>
              <w:spacing w:after="0"/>
              <w:ind w:left="0" w:leftChars="0" w:firstLine="0" w:firstLineChars="0"/>
              <w:jc w:val="center"/>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土地资源</w:t>
            </w:r>
          </w:p>
        </w:tc>
        <w:tc>
          <w:tcPr>
            <w:tcW w:w="3686" w:type="dxa"/>
            <w:vAlign w:val="center"/>
          </w:tcPr>
          <w:p>
            <w:pPr>
              <w:pStyle w:val="17"/>
              <w:numPr>
                <w:ilvl w:val="0"/>
                <w:numId w:val="0"/>
              </w:numPr>
              <w:snapToGrid w:val="0"/>
              <w:spacing w:after="0"/>
              <w:ind w:leftChars="0"/>
              <w:rPr>
                <w:rFonts w:hint="eastAsia" w:ascii="Times New Roman" w:hAnsi="Times New Roman" w:eastAsiaTheme="minorEastAsia"/>
                <w:color w:val="auto"/>
                <w:sz w:val="22"/>
                <w:szCs w:val="28"/>
              </w:rPr>
            </w:pPr>
            <w:r>
              <w:rPr>
                <w:rFonts w:hint="eastAsia" w:ascii="Times New Roman" w:hAnsi="Times New Roman" w:eastAsiaTheme="minorEastAsia"/>
                <w:color w:val="auto"/>
                <w:sz w:val="22"/>
                <w:szCs w:val="28"/>
              </w:rPr>
              <w:t>（4.3.1）坚持最严格的节约用地制度，盘活存量建设用地，提升土地产出效益，全面实施节约集约用地战略。</w:t>
            </w:r>
          </w:p>
          <w:p>
            <w:pPr>
              <w:pStyle w:val="17"/>
              <w:numPr>
                <w:ilvl w:val="0"/>
                <w:numId w:val="0"/>
              </w:numPr>
              <w:snapToGrid w:val="0"/>
              <w:spacing w:after="0"/>
              <w:ind w:left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rPr>
              <w:t>（4.3.2）园区项目引进严格运用用地指标，严格节约集约用地，园区工业项目投资强度执行《湖南省建设用地指标》（2020版）13等区域控制指标要求。</w:t>
            </w:r>
          </w:p>
        </w:tc>
        <w:tc>
          <w:tcPr>
            <w:tcW w:w="3027" w:type="dxa"/>
            <w:vAlign w:val="center"/>
          </w:tcPr>
          <w:p>
            <w:pPr>
              <w:pStyle w:val="17"/>
              <w:snapToGrid w:val="0"/>
              <w:spacing w:after="0"/>
              <w:ind w:left="0" w:leftChars="0" w:firstLine="0" w:firstLineChars="0"/>
              <w:rPr>
                <w:rFonts w:hint="eastAsia" w:ascii="Times New Roman" w:hAnsi="Times New Roman" w:eastAsiaTheme="minorEastAsia"/>
                <w:color w:val="auto"/>
                <w:sz w:val="22"/>
                <w:szCs w:val="28"/>
                <w:lang w:val="en-US" w:eastAsia="zh-CN"/>
              </w:rPr>
            </w:pPr>
            <w:r>
              <w:rPr>
                <w:rFonts w:hint="eastAsia" w:ascii="Times New Roman" w:hAnsi="Times New Roman" w:eastAsiaTheme="minorEastAsia"/>
                <w:color w:val="auto"/>
                <w:sz w:val="22"/>
                <w:szCs w:val="28"/>
                <w:lang w:val="en-US" w:eastAsia="zh-CN"/>
              </w:rPr>
              <w:t>（4.3.1）园区新引进企业均围绕主导产业定位。园区已建成城镇建设用地中，工矿仓储用地所占比例为15.72%，同时园区内公共管理与公共服务用地、交通运输用地所占比例也分别占到了1.56%和 19.54%。园区秉持以工业发展为主导的发展方针，整体工业主导特征较为鲜明。同时，园区注重基础设施发展先行与产业发展推动相结合，在推进产业发展的同时，园区积极推动园区基础设施建设，以此来保障和促进园区产业又快又好发展。自成立以来，严格依照相应的法律法规对产业开发区内土地进行管理，土地利用管理规范、监管绩效高。</w:t>
            </w:r>
          </w:p>
          <w:p>
            <w:pPr>
              <w:pStyle w:val="17"/>
              <w:snapToGrid w:val="0"/>
              <w:spacing w:after="0"/>
              <w:ind w:left="0" w:leftChars="0" w:firstLine="0" w:firstLineChars="0"/>
              <w:rPr>
                <w:rFonts w:ascii="Times New Roman" w:hAnsi="Times New Roman" w:eastAsiaTheme="minorEastAsia"/>
                <w:color w:val="auto"/>
                <w:sz w:val="22"/>
                <w:szCs w:val="28"/>
              </w:rPr>
            </w:pPr>
            <w:r>
              <w:rPr>
                <w:rFonts w:hint="eastAsia" w:ascii="Times New Roman" w:hAnsi="Times New Roman" w:eastAsiaTheme="minorEastAsia"/>
                <w:color w:val="auto"/>
                <w:sz w:val="22"/>
                <w:szCs w:val="28"/>
                <w:lang w:val="en-US" w:eastAsia="zh-CN"/>
              </w:rPr>
              <w:t>（4.3.2）园区工业项目投资强度均严格执行《湖南省建设用地指标》（2020 版）13 等区域控制指标要求。</w:t>
            </w:r>
          </w:p>
        </w:tc>
      </w:tr>
    </w:tbl>
    <w:p>
      <w:pPr>
        <w:pStyle w:val="17"/>
        <w:snapToGrid w:val="0"/>
        <w:spacing w:after="0" w:line="360" w:lineRule="auto"/>
        <w:ind w:left="0" w:leftChars="0" w:firstLine="560"/>
        <w:rPr>
          <w:rFonts w:ascii="Times New Roman" w:hAnsi="Times New Roman" w:eastAsiaTheme="minorEastAsia"/>
          <w:color w:val="auto"/>
          <w:sz w:val="28"/>
          <w:szCs w:val="28"/>
        </w:rPr>
      </w:pPr>
      <w:r>
        <w:rPr>
          <w:rFonts w:hint="eastAsia" w:ascii="Times New Roman" w:hAnsi="Times New Roman" w:eastAsiaTheme="minorEastAsia"/>
          <w:color w:val="auto"/>
          <w:sz w:val="28"/>
          <w:szCs w:val="28"/>
          <w:lang w:eastAsia="zh-CN"/>
        </w:rPr>
        <w:t>2021年</w:t>
      </w:r>
      <w:r>
        <w:rPr>
          <w:rFonts w:hint="eastAsia" w:ascii="Times New Roman" w:hAnsi="Times New Roman" w:eastAsiaTheme="minorEastAsia"/>
          <w:color w:val="auto"/>
          <w:sz w:val="28"/>
          <w:szCs w:val="28"/>
        </w:rPr>
        <w:t>，</w:t>
      </w:r>
      <w:r>
        <w:rPr>
          <w:rFonts w:hint="eastAsia" w:ascii="Times New Roman" w:hAnsi="Times New Roman" w:eastAsiaTheme="minorEastAsia"/>
          <w:color w:val="auto"/>
          <w:sz w:val="28"/>
          <w:szCs w:val="28"/>
          <w:lang w:eastAsia="zh-CN"/>
        </w:rPr>
        <w:t>沅陵产业开发区</w:t>
      </w:r>
      <w:r>
        <w:rPr>
          <w:rFonts w:ascii="Times New Roman" w:hAnsi="Times New Roman" w:eastAsiaTheme="minorEastAsia"/>
          <w:color w:val="auto"/>
          <w:sz w:val="28"/>
          <w:szCs w:val="28"/>
        </w:rPr>
        <w:t>根据《湖南省人民政府关于实施“三线一单”生态环境分区管控的意见》《湖南省“三线一单”生态环境总体管控要求既省级以上产业园区生态环境准入清单》开展自查并严格落实和执行“三线一单”的相关管控要求，在园区招商引资过程中</w:t>
      </w:r>
      <w:r>
        <w:rPr>
          <w:rFonts w:hint="eastAsia" w:ascii="Times New Roman" w:hAnsi="Times New Roman" w:eastAsiaTheme="minorEastAsia"/>
          <w:color w:val="auto"/>
          <w:sz w:val="28"/>
          <w:szCs w:val="28"/>
        </w:rPr>
        <w:t>，</w:t>
      </w:r>
      <w:r>
        <w:rPr>
          <w:rFonts w:ascii="Times New Roman" w:hAnsi="Times New Roman" w:eastAsiaTheme="minorEastAsia"/>
          <w:color w:val="auto"/>
          <w:sz w:val="28"/>
          <w:szCs w:val="28"/>
        </w:rPr>
        <w:t>用“线”管住空间布局、用“单”规范发展行为，禁止高污染、高耗能企业进入，推动绿色高质量项目加快落地，不断优化产业结构和空间布局。</w:t>
      </w:r>
    </w:p>
    <w:p>
      <w:pPr>
        <w:pStyle w:val="17"/>
        <w:snapToGrid w:val="0"/>
        <w:spacing w:after="0" w:line="360" w:lineRule="auto"/>
        <w:ind w:left="0" w:leftChars="0" w:firstLine="560"/>
        <w:rPr>
          <w:rFonts w:hint="eastAsia" w:ascii="Times New Roman" w:hAnsi="Times New Roman" w:eastAsiaTheme="minorEastAsia"/>
          <w:color w:val="auto"/>
          <w:sz w:val="28"/>
          <w:szCs w:val="28"/>
        </w:rPr>
      </w:pPr>
      <w:r>
        <w:rPr>
          <w:rFonts w:hint="eastAsia" w:ascii="Times New Roman" w:hAnsi="Times New Roman" w:eastAsiaTheme="minorEastAsia"/>
          <w:color w:val="auto"/>
          <w:sz w:val="28"/>
          <w:szCs w:val="28"/>
        </w:rPr>
        <w:t>目前，园区主要在项目入园、企业选址、环评审批、排污许可、日常环境监管工作推进等方面对照“三线一单”生态环境管控要求落实应用，下一步将主要在规划布局、项目准入、挥发性有机物治理、固废规范化管理处置等方面继续大力推进。</w:t>
      </w:r>
    </w:p>
    <w:p>
      <w:pPr>
        <w:pStyle w:val="17"/>
        <w:snapToGrid w:val="0"/>
        <w:spacing w:after="0" w:line="360" w:lineRule="auto"/>
        <w:ind w:left="0" w:leftChars="0" w:firstLine="560"/>
        <w:rPr>
          <w:rFonts w:hint="eastAsia" w:ascii="Times New Roman" w:hAnsi="Times New Roman" w:eastAsiaTheme="minorEastAsia"/>
          <w:color w:val="auto"/>
          <w:sz w:val="28"/>
          <w:szCs w:val="28"/>
        </w:rPr>
      </w:pPr>
    </w:p>
    <w:p>
      <w:pPr>
        <w:pStyle w:val="17"/>
        <w:snapToGrid w:val="0"/>
        <w:spacing w:after="0" w:line="360" w:lineRule="auto"/>
        <w:ind w:left="0" w:leftChars="0" w:firstLine="560"/>
        <w:rPr>
          <w:rFonts w:hint="eastAsia" w:ascii="Times New Roman" w:hAnsi="Times New Roman" w:eastAsiaTheme="minorEastAsia"/>
          <w:color w:val="auto"/>
          <w:sz w:val="28"/>
          <w:szCs w:val="28"/>
        </w:rPr>
      </w:pPr>
    </w:p>
    <w:p>
      <w:pPr>
        <w:pStyle w:val="17"/>
        <w:snapToGrid w:val="0"/>
        <w:spacing w:after="0" w:line="360" w:lineRule="auto"/>
        <w:ind w:left="0" w:leftChars="0" w:firstLine="560"/>
        <w:rPr>
          <w:rFonts w:hint="eastAsia" w:ascii="Times New Roman" w:hAnsi="Times New Roman" w:eastAsiaTheme="minorEastAsia"/>
          <w:color w:val="auto"/>
          <w:sz w:val="28"/>
          <w:szCs w:val="28"/>
        </w:rPr>
      </w:pPr>
    </w:p>
    <w:p>
      <w:pPr>
        <w:pStyle w:val="17"/>
        <w:snapToGrid w:val="0"/>
        <w:spacing w:after="0" w:line="360" w:lineRule="auto"/>
        <w:ind w:leftChars="0" w:firstLine="0" w:firstLineChars="0"/>
        <w:outlineLvl w:val="1"/>
        <w:rPr>
          <w:rFonts w:ascii="Times New Roman" w:hAnsi="Times New Roman" w:eastAsiaTheme="minorEastAsia"/>
          <w:color w:val="auto"/>
          <w:szCs w:val="28"/>
        </w:rPr>
      </w:pPr>
      <w:bookmarkStart w:id="5" w:name="_Toc68103679"/>
      <w:r>
        <w:rPr>
          <w:rFonts w:ascii="Times New Roman" w:hAnsi="Times New Roman" w:eastAsiaTheme="minorEastAsia"/>
          <w:b/>
          <w:color w:val="auto"/>
          <w:sz w:val="28"/>
          <w:szCs w:val="32"/>
        </w:rPr>
        <w:t>（三）水环境管理</w:t>
      </w:r>
      <w:bookmarkEnd w:id="5"/>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default" w:ascii="Times New Roman" w:hAnsi="Times New Roman" w:eastAsia="宋体" w:cs="Times New Roman"/>
          <w:color w:val="auto"/>
          <w:sz w:val="28"/>
          <w:szCs w:val="22"/>
        </w:rPr>
      </w:pPr>
      <w:bookmarkStart w:id="6" w:name="_Toc67236055"/>
      <w:bookmarkStart w:id="7" w:name="_Toc23068"/>
      <w:r>
        <w:rPr>
          <w:rFonts w:hint="default" w:ascii="Times New Roman" w:hAnsi="Times New Roman" w:eastAsia="宋体" w:cs="Times New Roman"/>
          <w:color w:val="auto"/>
          <w:sz w:val="28"/>
          <w:szCs w:val="22"/>
          <w:lang w:val="en-US" w:eastAsia="zh-CN"/>
        </w:rPr>
        <w:t>2.3.1</w:t>
      </w:r>
      <w:r>
        <w:rPr>
          <w:rFonts w:hint="default" w:ascii="Times New Roman" w:hAnsi="Times New Roman" w:eastAsia="宋体" w:cs="Times New Roman"/>
          <w:color w:val="auto"/>
          <w:sz w:val="28"/>
          <w:szCs w:val="22"/>
        </w:rPr>
        <w:t>污水处理设施建设情况</w:t>
      </w:r>
      <w:bookmarkEnd w:id="6"/>
      <w:bookmarkEnd w:id="7"/>
    </w:p>
    <w:p>
      <w:pPr>
        <w:pStyle w:val="43"/>
        <w:keepNext w:val="0"/>
        <w:keepLines w:val="0"/>
        <w:pageBreakBefore w:val="0"/>
        <w:widowControl w:val="0"/>
        <w:kinsoku/>
        <w:wordWrap/>
        <w:overflowPunct/>
        <w:topLinePunct w:val="0"/>
        <w:autoSpaceDE/>
        <w:bidi w:val="0"/>
        <w:adjustRightInd/>
        <w:snapToGrid w:val="0"/>
        <w:spacing w:before="0" w:beforeLines="0" w:after="0" w:afterLines="0" w:line="620" w:lineRule="exact"/>
        <w:ind w:left="0" w:leftChars="0" w:right="0" w:rightChars="0" w:firstLine="643"/>
        <w:textAlignment w:val="auto"/>
        <w:outlineLvl w:val="9"/>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园区配套集中污水处理设施1个，园区污水管网覆盖率为100%，集中污水处理设施名称为沅陵产业开发区污水处理厂，总设计处理规模 3000m³/d（其中一期建成规模500吨/天，一期工程一期工程处理工艺为FMBR兼氧膜技术工艺。二期建成规模1000吨/天，二期工程处理工艺为A</w:t>
      </w:r>
      <w:r>
        <w:rPr>
          <w:rFonts w:hint="eastAsia" w:ascii="Times New Roman" w:hAnsi="Times New Roman" w:cs="Times New Roman" w:eastAsiaTheme="minorEastAsia"/>
          <w:color w:val="auto"/>
          <w:kern w:val="2"/>
          <w:sz w:val="28"/>
          <w:szCs w:val="28"/>
          <w:vertAlign w:val="superscript"/>
          <w:lang w:val="en-US" w:eastAsia="zh-CN" w:bidi="ar-SA"/>
        </w:rPr>
        <w:t>2</w:t>
      </w:r>
      <w:r>
        <w:rPr>
          <w:rFonts w:hint="eastAsia" w:ascii="Times New Roman" w:hAnsi="Times New Roman" w:cs="Times New Roman" w:eastAsiaTheme="minorEastAsia"/>
          <w:color w:val="auto"/>
          <w:kern w:val="2"/>
          <w:sz w:val="28"/>
          <w:szCs w:val="28"/>
          <w:lang w:val="en-US" w:eastAsia="zh-CN" w:bidi="ar-SA"/>
        </w:rPr>
        <w:t>O+MBR组合工艺）。主要设备有：沉砂池、调节池、混凝沉淀池及水解酸化池、CASS池、芬顿预处理系统、超滤-反渗透深度处理系统和污泥脱水机等设施设备，处理后尾水排放需达到《城镇污水处理厂污染物排放标准》（GB18918-2002）一级B标准后排入蓝溪河，并最终排入沅水。总排口安装有COD、氨氮、PH、总氮、总磷等在线自动监控设备，在线监测达标率100%，园区雨水管网覆盖率100%。</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default" w:ascii="Times New Roman" w:hAnsi="Times New Roman" w:eastAsia="宋体" w:cs="Times New Roman"/>
          <w:color w:val="auto"/>
          <w:sz w:val="28"/>
          <w:szCs w:val="22"/>
        </w:rPr>
      </w:pPr>
      <w:bookmarkStart w:id="8" w:name="_Toc9138"/>
      <w:bookmarkStart w:id="9" w:name="_Toc67236056"/>
      <w:r>
        <w:rPr>
          <w:rFonts w:hint="default" w:ascii="Times New Roman" w:hAnsi="Times New Roman" w:eastAsia="宋体" w:cs="Times New Roman"/>
          <w:color w:val="auto"/>
          <w:sz w:val="28"/>
          <w:szCs w:val="22"/>
          <w:lang w:val="en-US" w:eastAsia="zh-CN"/>
        </w:rPr>
        <w:t>2.3.2</w:t>
      </w:r>
      <w:r>
        <w:rPr>
          <w:rFonts w:hint="default" w:ascii="Times New Roman" w:hAnsi="Times New Roman" w:eastAsia="宋体" w:cs="Times New Roman"/>
          <w:color w:val="auto"/>
          <w:sz w:val="28"/>
          <w:szCs w:val="22"/>
        </w:rPr>
        <w:t>涉水企业管理</w:t>
      </w:r>
      <w:bookmarkEnd w:id="8"/>
    </w:p>
    <w:bookmarkEnd w:id="9"/>
    <w:p>
      <w:pPr>
        <w:pStyle w:val="48"/>
        <w:keepNext w:val="0"/>
        <w:keepLines w:val="0"/>
        <w:pageBreakBefore w:val="0"/>
        <w:widowControl w:val="0"/>
        <w:kinsoku/>
        <w:wordWrap/>
        <w:overflowPunct/>
        <w:topLinePunct w:val="0"/>
        <w:autoSpaceDE/>
        <w:autoSpaceDN/>
        <w:bidi w:val="0"/>
        <w:adjustRightInd/>
        <w:spacing w:line="600" w:lineRule="exact"/>
        <w:ind w:firstLine="482"/>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（1）园区内涉及工业废水企业数量4家，工业废水总排放约 158.60m</w:t>
      </w:r>
      <w:r>
        <w:rPr>
          <w:rFonts w:hint="eastAsia" w:ascii="Times New Roman" w:hAnsi="Times New Roman" w:cs="Times New Roman" w:eastAsiaTheme="minorEastAsia"/>
          <w:color w:val="auto"/>
          <w:kern w:val="2"/>
          <w:sz w:val="28"/>
          <w:szCs w:val="28"/>
          <w:vertAlign w:val="superscript"/>
          <w:lang w:val="en-US" w:eastAsia="zh-CN" w:bidi="ar-SA"/>
        </w:rPr>
        <w:t>3</w:t>
      </w:r>
      <w:r>
        <w:rPr>
          <w:rFonts w:hint="eastAsia" w:ascii="Times New Roman" w:hAnsi="Times New Roman" w:cs="Times New Roman" w:eastAsiaTheme="minorEastAsia"/>
          <w:color w:val="auto"/>
          <w:kern w:val="2"/>
          <w:sz w:val="28"/>
          <w:szCs w:val="28"/>
          <w:lang w:val="en-US" w:eastAsia="zh-CN" w:bidi="ar-SA"/>
        </w:rPr>
        <w:t>/d，外排污水纳管企业数量</w:t>
      </w:r>
      <w:r>
        <w:rPr>
          <w:rFonts w:hint="eastAsia" w:ascii="Times New Roman" w:hAnsi="Times New Roman" w:cs="Times New Roman" w:eastAsiaTheme="minorEastAsia"/>
          <w:color w:val="auto"/>
          <w:kern w:val="2"/>
          <w:sz w:val="28"/>
          <w:szCs w:val="28"/>
          <w:lang w:val="en-US" w:eastAsia="zh-CN" w:bidi="ar-SA"/>
        </w:rPr>
        <w:t>11家</w:t>
      </w:r>
      <w:r>
        <w:rPr>
          <w:rFonts w:hint="eastAsia" w:ascii="Times New Roman" w:hAnsi="Times New Roman" w:cs="Times New Roman" w:eastAsiaTheme="minorEastAsia"/>
          <w:color w:val="auto"/>
          <w:kern w:val="2"/>
          <w:sz w:val="28"/>
          <w:szCs w:val="28"/>
          <w:lang w:val="en-US" w:eastAsia="zh-CN" w:bidi="ar-SA"/>
        </w:rPr>
        <w:t>，污水集中处理比例 100 %。</w:t>
      </w:r>
    </w:p>
    <w:p>
      <w:pPr>
        <w:pStyle w:val="48"/>
        <w:keepNext w:val="0"/>
        <w:keepLines w:val="0"/>
        <w:pageBreakBefore w:val="0"/>
        <w:widowControl w:val="0"/>
        <w:kinsoku/>
        <w:wordWrap/>
        <w:overflowPunct/>
        <w:topLinePunct w:val="0"/>
        <w:autoSpaceDE/>
        <w:autoSpaceDN/>
        <w:bidi w:val="0"/>
        <w:adjustRightInd/>
        <w:spacing w:line="600" w:lineRule="exact"/>
        <w:ind w:firstLine="482"/>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（2）园区年度水污染物总排放量</w:t>
      </w:r>
      <w:r>
        <w:rPr>
          <w:rFonts w:hint="eastAsia" w:ascii="Times New Roman" w:hAnsi="Times New Roman" w:cs="Times New Roman" w:eastAsiaTheme="minorEastAsia"/>
          <w:color w:val="auto"/>
          <w:kern w:val="2"/>
          <w:sz w:val="28"/>
          <w:szCs w:val="28"/>
          <w:lang w:val="en-US" w:eastAsia="zh-CN" w:bidi="ar-SA"/>
        </w:rPr>
        <w:t>：化学需氧量3.489t/a，氨氮 0.03 t/a，总氮1.215t/a，总磷0.0375t/a（数据来源</w:t>
      </w:r>
      <w:r>
        <w:rPr>
          <w:rFonts w:hint="eastAsia" w:ascii="Times New Roman" w:hAnsi="Times New Roman" w:cs="Times New Roman" w:eastAsiaTheme="minorEastAsia"/>
          <w:color w:val="auto"/>
          <w:kern w:val="2"/>
          <w:sz w:val="28"/>
          <w:szCs w:val="28"/>
          <w:lang w:val="en-US" w:eastAsia="zh-CN" w:bidi="ar-SA"/>
        </w:rPr>
        <w:t>于园区污水处理厂总排口在线监测统计数据）。园区污水处理厂排污口下游最近的地表水水质监测断面为河涨洲断面，水功能区划Ⅲ类，监测达标率100%，无超标因子。</w:t>
      </w:r>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园区涉及一类水污染排放的企业主要为湖南奇力新电子科技有限公司（该企业电镀车间已于2021年6月后停产）</w:t>
      </w:r>
      <w:r>
        <w:rPr>
          <w:rFonts w:hint="eastAsia" w:ascii="Times New Roman" w:hAnsi="Times New Roman" w:cs="Times New Roman" w:eastAsiaTheme="minorEastAsia"/>
          <w:color w:val="auto"/>
          <w:kern w:val="2"/>
          <w:sz w:val="28"/>
          <w:szCs w:val="28"/>
          <w:lang w:val="en-US" w:eastAsia="zh-CN" w:bidi="ar-SA"/>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default" w:ascii="Times New Roman" w:hAnsi="Times New Roman" w:eastAsia="宋体" w:cs="Times New Roman"/>
          <w:color w:val="auto"/>
          <w:sz w:val="28"/>
          <w:szCs w:val="22"/>
        </w:rPr>
      </w:pPr>
      <w:bookmarkStart w:id="10" w:name="_Toc6310"/>
      <w:bookmarkStart w:id="11" w:name="_Hlk65856203"/>
      <w:bookmarkStart w:id="12" w:name="_Toc67236057"/>
      <w:r>
        <w:rPr>
          <w:rFonts w:hint="default" w:ascii="Times New Roman" w:hAnsi="Times New Roman" w:eastAsia="宋体" w:cs="Times New Roman"/>
          <w:color w:val="auto"/>
          <w:sz w:val="28"/>
          <w:szCs w:val="22"/>
          <w:lang w:val="en-US" w:eastAsia="zh-CN"/>
        </w:rPr>
        <w:t>2.3.3</w:t>
      </w:r>
      <w:r>
        <w:rPr>
          <w:rFonts w:hint="default" w:ascii="Times New Roman" w:hAnsi="Times New Roman" w:eastAsia="宋体" w:cs="Times New Roman"/>
          <w:color w:val="auto"/>
          <w:sz w:val="28"/>
          <w:szCs w:val="22"/>
        </w:rPr>
        <w:t>“双源”地下水建设及监测情况</w:t>
      </w:r>
      <w:bookmarkEnd w:id="10"/>
    </w:p>
    <w:bookmarkEnd w:id="11"/>
    <w:bookmarkEnd w:id="12"/>
    <w:p>
      <w:pPr>
        <w:pStyle w:val="49"/>
        <w:bidi w:val="0"/>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园区范围内地表水主要为</w:t>
      </w:r>
      <w:r>
        <w:rPr>
          <w:rFonts w:hint="eastAsia" w:cs="Times New Roman" w:eastAsiaTheme="minorEastAsia"/>
          <w:color w:val="auto"/>
          <w:kern w:val="2"/>
          <w:sz w:val="28"/>
          <w:szCs w:val="28"/>
          <w:lang w:val="en-US" w:eastAsia="zh-CN" w:bidi="ar-SA"/>
        </w:rPr>
        <w:t>蓝溪河</w:t>
      </w:r>
      <w:r>
        <w:rPr>
          <w:rFonts w:hint="eastAsia" w:ascii="Times New Roman" w:hAnsi="Times New Roman" w:cs="Times New Roman" w:eastAsiaTheme="minorEastAsia"/>
          <w:color w:val="auto"/>
          <w:kern w:val="2"/>
          <w:sz w:val="28"/>
          <w:szCs w:val="28"/>
          <w:lang w:val="en-US" w:eastAsia="zh-CN" w:bidi="ar-SA"/>
        </w:rPr>
        <w:t>，地下水为园区范围内及周边</w:t>
      </w:r>
      <w:r>
        <w:rPr>
          <w:rFonts w:hint="eastAsia" w:ascii="Times New Roman" w:hAnsi="Times New Roman" w:cs="Times New Roman" w:eastAsiaTheme="minorEastAsia"/>
          <w:color w:val="auto"/>
          <w:kern w:val="2"/>
          <w:sz w:val="28"/>
          <w:szCs w:val="28"/>
          <w:lang w:val="en-US" w:eastAsia="en-US" w:bidi="ar-SA"/>
        </w:rPr>
        <w:t>500</w:t>
      </w:r>
      <w:r>
        <w:rPr>
          <w:rFonts w:hint="eastAsia" w:ascii="Times New Roman" w:hAnsi="Times New Roman" w:cs="Times New Roman" w:eastAsiaTheme="minorEastAsia"/>
          <w:color w:val="auto"/>
          <w:kern w:val="2"/>
          <w:sz w:val="28"/>
          <w:szCs w:val="28"/>
          <w:lang w:val="en-US" w:eastAsia="zh-CN" w:bidi="ar-SA"/>
        </w:rPr>
        <w:t>m潜水层，根据</w:t>
      </w:r>
      <w:r>
        <w:rPr>
          <w:rFonts w:hint="eastAsia" w:ascii="Times New Roman" w:hAnsi="Times New Roman" w:cs="Times New Roman" w:eastAsiaTheme="minorEastAsia"/>
          <w:color w:val="auto"/>
          <w:kern w:val="2"/>
          <w:sz w:val="28"/>
          <w:szCs w:val="28"/>
          <w:lang w:val="zh-CN" w:eastAsia="zh-CN" w:bidi="ar-SA"/>
        </w:rPr>
        <w:t>“双源”地下</w:t>
      </w:r>
      <w:r>
        <w:rPr>
          <w:rFonts w:hint="eastAsia" w:ascii="Times New Roman" w:hAnsi="Times New Roman" w:cs="Times New Roman" w:eastAsiaTheme="minorEastAsia"/>
          <w:color w:val="auto"/>
          <w:kern w:val="2"/>
          <w:sz w:val="28"/>
          <w:szCs w:val="28"/>
          <w:lang w:val="en-US" w:eastAsia="zh-CN" w:bidi="ar-SA"/>
        </w:rPr>
        <w:t>水定义标准，园区</w:t>
      </w:r>
      <w:r>
        <w:rPr>
          <w:rFonts w:hint="eastAsia" w:cs="Times New Roman" w:eastAsiaTheme="minorEastAsia"/>
          <w:color w:val="auto"/>
          <w:kern w:val="2"/>
          <w:sz w:val="28"/>
          <w:szCs w:val="28"/>
          <w:lang w:val="en-US" w:eastAsia="zh-CN" w:bidi="ar-SA"/>
        </w:rPr>
        <w:t>不涉及</w:t>
      </w:r>
      <w:r>
        <w:rPr>
          <w:rFonts w:hint="eastAsia" w:ascii="Times New Roman" w:hAnsi="Times New Roman" w:cs="Times New Roman" w:eastAsiaTheme="minorEastAsia"/>
          <w:color w:val="auto"/>
          <w:kern w:val="2"/>
          <w:sz w:val="28"/>
          <w:szCs w:val="28"/>
          <w:lang w:val="zh-CN" w:eastAsia="zh-CN" w:bidi="ar-SA"/>
        </w:rPr>
        <w:t>“双</w:t>
      </w:r>
      <w:r>
        <w:rPr>
          <w:rFonts w:hint="eastAsia" w:ascii="Times New Roman" w:hAnsi="Times New Roman" w:cs="Times New Roman" w:eastAsiaTheme="minorEastAsia"/>
          <w:color w:val="auto"/>
          <w:kern w:val="2"/>
          <w:sz w:val="28"/>
          <w:szCs w:val="28"/>
          <w:lang w:val="en-US" w:eastAsia="zh-CN" w:bidi="ar-SA"/>
        </w:rPr>
        <w:t>源”地下水监测需求。</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default" w:ascii="Times New Roman" w:hAnsi="Times New Roman" w:eastAsia="宋体" w:cs="Times New Roman"/>
          <w:color w:val="auto"/>
          <w:sz w:val="28"/>
          <w:szCs w:val="22"/>
        </w:rPr>
      </w:pPr>
      <w:bookmarkStart w:id="13" w:name="_Toc17367"/>
      <w:bookmarkStart w:id="14" w:name="_Toc67236058"/>
      <w:bookmarkStart w:id="15" w:name="_Toc68103680"/>
      <w:r>
        <w:rPr>
          <w:rFonts w:hint="default" w:ascii="Times New Roman" w:hAnsi="Times New Roman" w:eastAsia="宋体" w:cs="Times New Roman"/>
          <w:color w:val="auto"/>
          <w:sz w:val="28"/>
          <w:szCs w:val="22"/>
          <w:lang w:val="en-US" w:eastAsia="zh-CN"/>
        </w:rPr>
        <w:t>2.3.4</w:t>
      </w:r>
      <w:r>
        <w:rPr>
          <w:rFonts w:hint="default" w:ascii="Times New Roman" w:hAnsi="Times New Roman" w:eastAsia="宋体" w:cs="Times New Roman"/>
          <w:color w:val="auto"/>
          <w:sz w:val="28"/>
          <w:szCs w:val="22"/>
        </w:rPr>
        <w:t>黑臭水体整治</w:t>
      </w:r>
      <w:bookmarkEnd w:id="13"/>
    </w:p>
    <w:bookmarkEnd w:id="14"/>
    <w:p>
      <w:pPr>
        <w:pStyle w:val="49"/>
        <w:bidi w:val="0"/>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园区不涉及黑臭水体。</w:t>
      </w:r>
    </w:p>
    <w:p>
      <w:pPr>
        <w:pStyle w:val="17"/>
        <w:keepNext w:val="0"/>
        <w:keepLines w:val="0"/>
        <w:pageBreakBefore w:val="0"/>
        <w:widowControl w:val="0"/>
        <w:kinsoku/>
        <w:wordWrap/>
        <w:overflowPunct/>
        <w:topLinePunct w:val="0"/>
        <w:autoSpaceDE/>
        <w:autoSpaceDN/>
        <w:bidi w:val="0"/>
        <w:adjustRightInd/>
        <w:snapToGrid w:val="0"/>
        <w:spacing w:before="157" w:beforeLines="50" w:after="0" w:line="360" w:lineRule="auto"/>
        <w:ind w:left="420" w:leftChars="0" w:firstLine="0" w:firstLineChars="0"/>
        <w:textAlignment w:val="auto"/>
        <w:outlineLvl w:val="1"/>
        <w:rPr>
          <w:rFonts w:ascii="Times New Roman" w:hAnsi="Times New Roman" w:eastAsiaTheme="minorEastAsia"/>
          <w:b/>
          <w:color w:val="auto"/>
          <w:sz w:val="28"/>
          <w:szCs w:val="32"/>
        </w:rPr>
      </w:pPr>
      <w:r>
        <w:rPr>
          <w:rFonts w:ascii="Times New Roman" w:hAnsi="Times New Roman" w:eastAsiaTheme="minorEastAsia"/>
          <w:b/>
          <w:color w:val="auto"/>
          <w:sz w:val="28"/>
          <w:szCs w:val="32"/>
        </w:rPr>
        <w:t>（四）大气环境管理</w:t>
      </w:r>
      <w:bookmarkEnd w:id="15"/>
    </w:p>
    <w:p>
      <w:pPr>
        <w:pStyle w:val="15"/>
        <w:widowControl/>
        <w:spacing w:beforeAutospacing="0" w:afterAutospacing="0" w:line="360" w:lineRule="auto"/>
        <w:ind w:firstLine="420"/>
        <w:jc w:val="both"/>
        <w:rPr>
          <w:rFonts w:ascii="Times New Roman" w:hAnsi="Times New Roman"/>
          <w:color w:val="auto"/>
          <w:sz w:val="28"/>
          <w:szCs w:val="28"/>
        </w:rPr>
      </w:pPr>
      <w:r>
        <w:rPr>
          <w:rFonts w:ascii="Times New Roman" w:hAnsi="Times New Roman"/>
          <w:color w:val="auto"/>
          <w:sz w:val="28"/>
          <w:szCs w:val="28"/>
        </w:rPr>
        <w:t>园区内涉及工业废气外排企业数量</w:t>
      </w:r>
      <w:r>
        <w:rPr>
          <w:rFonts w:hint="eastAsia" w:ascii="Times New Roman" w:hAnsi="Times New Roman"/>
          <w:color w:val="auto"/>
          <w:sz w:val="28"/>
          <w:szCs w:val="28"/>
          <w:lang w:val="en-US" w:eastAsia="zh-CN"/>
        </w:rPr>
        <w:t>6</w:t>
      </w:r>
      <w:r>
        <w:rPr>
          <w:rFonts w:ascii="Times New Roman" w:hAnsi="Times New Roman"/>
          <w:color w:val="auto"/>
          <w:sz w:val="28"/>
          <w:szCs w:val="28"/>
        </w:rPr>
        <w:t>个</w:t>
      </w:r>
      <w:r>
        <w:rPr>
          <w:rFonts w:hint="eastAsia" w:ascii="Times New Roman" w:hAnsi="Times New Roman"/>
          <w:color w:val="auto"/>
          <w:sz w:val="28"/>
          <w:szCs w:val="28"/>
          <w:lang w:eastAsia="zh-CN"/>
        </w:rPr>
        <w:t>。</w:t>
      </w:r>
      <w:r>
        <w:rPr>
          <w:rFonts w:hint="eastAsia" w:ascii="Times New Roman" w:hAnsi="Times New Roman" w:eastAsia="宋体"/>
          <w:color w:val="auto"/>
          <w:sz w:val="28"/>
          <w:szCs w:val="28"/>
        </w:rPr>
        <w:t>企业排放的主要废气污染物为颗粒物、</w:t>
      </w:r>
      <w:r>
        <w:rPr>
          <w:rFonts w:ascii="Times New Roman" w:hAnsi="Times New Roman"/>
          <w:color w:val="auto"/>
          <w:sz w:val="28"/>
          <w:szCs w:val="21"/>
        </w:rPr>
        <w:t>SO</w:t>
      </w:r>
      <w:r>
        <w:rPr>
          <w:rFonts w:ascii="Times New Roman" w:hAnsi="Times New Roman"/>
          <w:color w:val="auto"/>
          <w:sz w:val="28"/>
          <w:szCs w:val="21"/>
          <w:vertAlign w:val="subscript"/>
        </w:rPr>
        <w:t>2</w:t>
      </w:r>
      <w:r>
        <w:rPr>
          <w:rFonts w:hint="eastAsia" w:ascii="Times New Roman" w:hAnsi="Times New Roman"/>
          <w:color w:val="auto"/>
          <w:sz w:val="28"/>
          <w:szCs w:val="21"/>
        </w:rPr>
        <w:t>、</w:t>
      </w:r>
      <w:r>
        <w:rPr>
          <w:rFonts w:ascii="Times New Roman" w:hAnsi="Times New Roman"/>
          <w:color w:val="auto"/>
          <w:sz w:val="28"/>
          <w:szCs w:val="21"/>
        </w:rPr>
        <w:t>N</w:t>
      </w:r>
      <w:r>
        <w:rPr>
          <w:rFonts w:hint="eastAsia" w:ascii="Times New Roman" w:hAnsi="Times New Roman"/>
          <w:color w:val="auto"/>
          <w:sz w:val="28"/>
          <w:szCs w:val="21"/>
        </w:rPr>
        <w:t>O</w:t>
      </w:r>
      <w:r>
        <w:rPr>
          <w:rFonts w:ascii="Times New Roman" w:hAnsi="Times New Roman"/>
          <w:color w:val="auto"/>
          <w:sz w:val="28"/>
          <w:szCs w:val="21"/>
        </w:rPr>
        <w:t>x及VOCs</w:t>
      </w:r>
      <w:r>
        <w:rPr>
          <w:rFonts w:hint="eastAsia" w:ascii="Times New Roman" w:hAnsi="Times New Roman"/>
          <w:color w:val="auto"/>
          <w:sz w:val="22"/>
          <w:szCs w:val="21"/>
        </w:rPr>
        <w:t>。</w:t>
      </w:r>
      <w:r>
        <w:rPr>
          <w:rFonts w:hint="eastAsia" w:ascii="Times New Roman" w:hAnsi="Times New Roman" w:eastAsia="宋体"/>
          <w:color w:val="auto"/>
          <w:sz w:val="28"/>
          <w:szCs w:val="28"/>
        </w:rPr>
        <w:t>园区内不涉及</w:t>
      </w:r>
      <w:r>
        <w:rPr>
          <w:rFonts w:ascii="Times New Roman" w:hAnsi="Times New Roman"/>
          <w:color w:val="auto"/>
          <w:sz w:val="22"/>
          <w:szCs w:val="21"/>
        </w:rPr>
        <w:t>VOCs</w:t>
      </w:r>
      <w:r>
        <w:rPr>
          <w:rFonts w:ascii="Times New Roman" w:hAnsi="Times New Roman"/>
          <w:color w:val="auto"/>
          <w:sz w:val="28"/>
          <w:szCs w:val="21"/>
        </w:rPr>
        <w:t>重点排放企事业单位</w:t>
      </w:r>
      <w:r>
        <w:rPr>
          <w:rFonts w:hint="eastAsia" w:ascii="Times New Roman" w:hAnsi="Times New Roman"/>
          <w:color w:val="auto"/>
          <w:sz w:val="28"/>
          <w:szCs w:val="21"/>
        </w:rPr>
        <w:t>。</w:t>
      </w:r>
      <w:r>
        <w:rPr>
          <w:rFonts w:hint="eastAsia" w:ascii="Times New Roman" w:hAnsi="Times New Roman"/>
          <w:color w:val="auto"/>
          <w:sz w:val="28"/>
          <w:szCs w:val="28"/>
        </w:rPr>
        <w:t>园区各企业均按照环保要求设置了废气污染防治措施，</w:t>
      </w:r>
      <w:r>
        <w:rPr>
          <w:rFonts w:ascii="Times New Roman" w:hAnsi="Times New Roman"/>
          <w:color w:val="auto"/>
          <w:sz w:val="28"/>
          <w:szCs w:val="28"/>
        </w:rPr>
        <w:t>大气污染物总</w:t>
      </w:r>
      <w:r>
        <w:rPr>
          <w:rFonts w:ascii="Times New Roman" w:hAnsi="Times New Roman"/>
          <w:color w:val="auto"/>
          <w:sz w:val="28"/>
          <w:szCs w:val="28"/>
        </w:rPr>
        <w:t>排放量：二氧化硫</w:t>
      </w:r>
      <w:r>
        <w:rPr>
          <w:rFonts w:hint="eastAsia" w:ascii="Times New Roman" w:hAnsi="Times New Roman"/>
          <w:color w:val="auto"/>
          <w:sz w:val="28"/>
          <w:szCs w:val="28"/>
          <w:lang w:val="en-US" w:eastAsia="zh-CN"/>
        </w:rPr>
        <w:t>0.48386</w:t>
      </w:r>
      <w:r>
        <w:rPr>
          <w:rFonts w:ascii="Times New Roman" w:hAnsi="Times New Roman"/>
          <w:color w:val="auto"/>
          <w:sz w:val="28"/>
          <w:szCs w:val="28"/>
        </w:rPr>
        <w:t>t/a，氮氧化物</w:t>
      </w:r>
      <w:r>
        <w:rPr>
          <w:rFonts w:hint="eastAsia" w:ascii="Times New Roman" w:hAnsi="Times New Roman"/>
          <w:color w:val="auto"/>
          <w:sz w:val="28"/>
          <w:szCs w:val="28"/>
          <w:lang w:val="en-US" w:eastAsia="zh-CN"/>
        </w:rPr>
        <w:t>0.58794</w:t>
      </w:r>
      <w:r>
        <w:rPr>
          <w:rFonts w:ascii="Times New Roman" w:hAnsi="Times New Roman"/>
          <w:color w:val="auto"/>
          <w:sz w:val="28"/>
          <w:szCs w:val="28"/>
        </w:rPr>
        <w:t>t/a，VOCs</w:t>
      </w:r>
      <w:r>
        <w:rPr>
          <w:rFonts w:hint="eastAsia" w:ascii="Times New Roman" w:hAnsi="Times New Roman"/>
          <w:color w:val="auto"/>
          <w:sz w:val="28"/>
          <w:szCs w:val="28"/>
          <w:lang w:val="en-US" w:eastAsia="zh-CN"/>
        </w:rPr>
        <w:t>9.163</w:t>
      </w:r>
      <w:r>
        <w:rPr>
          <w:rFonts w:ascii="Times New Roman" w:hAnsi="Times New Roman"/>
          <w:color w:val="auto"/>
          <w:sz w:val="28"/>
          <w:szCs w:val="28"/>
        </w:rPr>
        <w:t>t/a。</w:t>
      </w:r>
    </w:p>
    <w:p>
      <w:pPr>
        <w:pStyle w:val="48"/>
        <w:ind w:firstLine="560" w:firstLineChars="200"/>
        <w:rPr>
          <w:rFonts w:hint="eastAsia" w:ascii="Times New Roman" w:hAnsi="Times New Roman" w:eastAsia="宋体" w:cs="Times New Roman"/>
          <w:color w:val="auto"/>
          <w:kern w:val="0"/>
          <w:sz w:val="28"/>
          <w:szCs w:val="28"/>
          <w:lang w:val="en-US" w:eastAsia="zh-CN" w:bidi="ar-SA"/>
        </w:rPr>
      </w:pPr>
      <w:r>
        <w:rPr>
          <w:rFonts w:hint="eastAsia" w:ascii="Times New Roman" w:hAnsi="Times New Roman" w:eastAsia="宋体" w:cs="Times New Roman"/>
          <w:color w:val="auto"/>
          <w:kern w:val="0"/>
          <w:sz w:val="28"/>
          <w:szCs w:val="28"/>
          <w:lang w:val="en-US" w:eastAsia="zh-CN" w:bidi="ar-SA"/>
        </w:rPr>
        <w:t>园区目前建有一座空气监测小微站，安装在园区管委会大楼楼顶，检测参数包含PM</w:t>
      </w:r>
      <w:r>
        <w:rPr>
          <w:rFonts w:hint="eastAsia" w:ascii="Times New Roman" w:hAnsi="Times New Roman" w:eastAsia="宋体" w:cs="Times New Roman"/>
          <w:color w:val="auto"/>
          <w:kern w:val="0"/>
          <w:sz w:val="28"/>
          <w:szCs w:val="28"/>
          <w:vertAlign w:val="subscript"/>
          <w:lang w:val="en-US" w:eastAsia="zh-CN" w:bidi="ar-SA"/>
        </w:rPr>
        <w:t>10</w:t>
      </w:r>
      <w:r>
        <w:rPr>
          <w:rFonts w:hint="eastAsia" w:ascii="Times New Roman" w:hAnsi="Times New Roman" w:eastAsia="宋体" w:cs="Times New Roman"/>
          <w:color w:val="auto"/>
          <w:kern w:val="0"/>
          <w:sz w:val="28"/>
          <w:szCs w:val="28"/>
          <w:lang w:val="en-US" w:eastAsia="zh-CN" w:bidi="ar-SA"/>
        </w:rPr>
        <w:t>、PM</w:t>
      </w:r>
      <w:r>
        <w:rPr>
          <w:rFonts w:hint="eastAsia" w:ascii="Times New Roman" w:hAnsi="Times New Roman" w:eastAsia="宋体" w:cs="Times New Roman"/>
          <w:color w:val="auto"/>
          <w:kern w:val="0"/>
          <w:sz w:val="28"/>
          <w:szCs w:val="28"/>
          <w:vertAlign w:val="subscript"/>
          <w:lang w:val="en-US" w:eastAsia="zh-CN" w:bidi="ar-SA"/>
        </w:rPr>
        <w:t>2.5</w:t>
      </w:r>
      <w:r>
        <w:rPr>
          <w:rFonts w:hint="eastAsia" w:ascii="Times New Roman" w:hAnsi="Times New Roman" w:eastAsia="宋体" w:cs="Times New Roman"/>
          <w:color w:val="auto"/>
          <w:kern w:val="0"/>
          <w:sz w:val="28"/>
          <w:szCs w:val="28"/>
          <w:lang w:val="en-US" w:eastAsia="zh-CN" w:bidi="ar-SA"/>
        </w:rPr>
        <w:t>、SO</w:t>
      </w:r>
      <w:r>
        <w:rPr>
          <w:rFonts w:hint="eastAsia" w:ascii="Times New Roman" w:hAnsi="Times New Roman" w:eastAsia="宋体" w:cs="Times New Roman"/>
          <w:color w:val="auto"/>
          <w:kern w:val="0"/>
          <w:sz w:val="28"/>
          <w:szCs w:val="28"/>
          <w:vertAlign w:val="subscript"/>
          <w:lang w:val="en-US" w:eastAsia="zh-CN" w:bidi="ar-SA"/>
        </w:rPr>
        <w:t>2</w:t>
      </w:r>
      <w:r>
        <w:rPr>
          <w:rFonts w:hint="eastAsia" w:ascii="Times New Roman" w:hAnsi="Times New Roman" w:eastAsia="宋体" w:cs="Times New Roman"/>
          <w:color w:val="auto"/>
          <w:kern w:val="0"/>
          <w:sz w:val="28"/>
          <w:szCs w:val="28"/>
          <w:lang w:val="en-US" w:eastAsia="zh-CN" w:bidi="ar-SA"/>
        </w:rPr>
        <w:t>、NO</w:t>
      </w:r>
      <w:r>
        <w:rPr>
          <w:rFonts w:hint="eastAsia" w:ascii="Times New Roman" w:hAnsi="Times New Roman" w:eastAsia="宋体" w:cs="Times New Roman"/>
          <w:color w:val="auto"/>
          <w:kern w:val="0"/>
          <w:sz w:val="28"/>
          <w:szCs w:val="28"/>
          <w:vertAlign w:val="subscript"/>
          <w:lang w:val="en-US" w:eastAsia="zh-CN" w:bidi="ar-SA"/>
        </w:rPr>
        <w:t>2</w:t>
      </w:r>
      <w:r>
        <w:rPr>
          <w:rFonts w:hint="eastAsia" w:ascii="Times New Roman" w:hAnsi="Times New Roman" w:eastAsia="宋体" w:cs="Times New Roman"/>
          <w:color w:val="auto"/>
          <w:kern w:val="0"/>
          <w:sz w:val="28"/>
          <w:szCs w:val="28"/>
          <w:lang w:val="en-US" w:eastAsia="zh-CN" w:bidi="ar-SA"/>
        </w:rPr>
        <w:t>、CO、O</w:t>
      </w:r>
      <w:r>
        <w:rPr>
          <w:rFonts w:hint="eastAsia" w:ascii="Times New Roman" w:hAnsi="Times New Roman" w:eastAsia="宋体" w:cs="Times New Roman"/>
          <w:color w:val="auto"/>
          <w:kern w:val="0"/>
          <w:sz w:val="28"/>
          <w:szCs w:val="28"/>
          <w:vertAlign w:val="subscript"/>
          <w:lang w:val="en-US" w:eastAsia="zh-CN" w:bidi="ar-SA"/>
        </w:rPr>
        <w:t>3</w:t>
      </w:r>
      <w:r>
        <w:rPr>
          <w:rFonts w:hint="eastAsia" w:ascii="Times New Roman" w:hAnsi="Times New Roman" w:eastAsia="宋体" w:cs="Times New Roman"/>
          <w:color w:val="auto"/>
          <w:kern w:val="0"/>
          <w:sz w:val="28"/>
          <w:szCs w:val="28"/>
          <w:lang w:val="en-US" w:eastAsia="zh-CN" w:bidi="ar-SA"/>
        </w:rPr>
        <w:t>及气象五参数，</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color w:val="auto"/>
          <w:sz w:val="24"/>
          <w:szCs w:val="22"/>
        </w:rPr>
      </w:pPr>
      <w:r>
        <w:rPr>
          <w:rFonts w:hint="eastAsia" w:ascii="Times New Roman" w:hAnsi="Times New Roman" w:eastAsia="宋体" w:cs="Times New Roman"/>
          <w:color w:val="auto"/>
          <w:kern w:val="0"/>
          <w:sz w:val="28"/>
          <w:szCs w:val="28"/>
          <w:lang w:val="en-US" w:eastAsia="zh-CN" w:bidi="ar-SA"/>
        </w:rPr>
        <w:t>根据沅陵产业开发区环境空气自动监测站2021年度的监测结果，2021年空气质量指数为48，主要污染物为</w:t>
      </w:r>
      <w:r>
        <w:rPr>
          <w:rFonts w:hint="default" w:ascii="Times New Roman" w:hAnsi="Times New Roman" w:eastAsia="宋体" w:cs="Times New Roman"/>
          <w:color w:val="auto"/>
          <w:kern w:val="0"/>
          <w:sz w:val="28"/>
          <w:szCs w:val="28"/>
          <w:lang w:val="en-US" w:eastAsia="zh-CN" w:bidi="ar-SA"/>
        </w:rPr>
        <w:t>PM</w:t>
      </w:r>
      <w:r>
        <w:rPr>
          <w:rFonts w:hint="default" w:ascii="Times New Roman" w:hAnsi="Times New Roman" w:eastAsia="宋体" w:cs="Times New Roman"/>
          <w:color w:val="auto"/>
          <w:kern w:val="0"/>
          <w:sz w:val="28"/>
          <w:szCs w:val="28"/>
          <w:vertAlign w:val="subscript"/>
          <w:lang w:val="en-US" w:eastAsia="zh-CN" w:bidi="ar-SA"/>
        </w:rPr>
        <w:t>10</w:t>
      </w:r>
      <w:r>
        <w:rPr>
          <w:rFonts w:hint="eastAsia" w:ascii="Times New Roman" w:hAnsi="Times New Roman" w:eastAsia="宋体" w:cs="Times New Roman"/>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PM</w:t>
      </w:r>
      <w:r>
        <w:rPr>
          <w:rFonts w:hint="default" w:ascii="Times New Roman" w:hAnsi="Times New Roman" w:eastAsia="宋体" w:cs="Times New Roman"/>
          <w:color w:val="auto"/>
          <w:kern w:val="0"/>
          <w:sz w:val="28"/>
          <w:szCs w:val="28"/>
          <w:vertAlign w:val="subscript"/>
          <w:lang w:val="en-US" w:eastAsia="zh-CN" w:bidi="ar-SA"/>
        </w:rPr>
        <w:t>2.5</w:t>
      </w:r>
      <w:r>
        <w:rPr>
          <w:rFonts w:hint="eastAsia" w:ascii="Times New Roman" w:hAnsi="Times New Roman" w:eastAsia="宋体" w:cs="Times New Roman"/>
          <w:color w:val="auto"/>
          <w:kern w:val="0"/>
          <w:sz w:val="28"/>
          <w:szCs w:val="28"/>
          <w:lang w:val="en-US" w:eastAsia="zh-CN" w:bidi="ar-SA"/>
        </w:rPr>
        <w:t>浓度为</w:t>
      </w:r>
      <w:r>
        <w:rPr>
          <w:rFonts w:hint="default" w:ascii="Times New Roman" w:hAnsi="Times New Roman" w:eastAsia="宋体" w:cs="Times New Roman"/>
          <w:color w:val="auto"/>
          <w:kern w:val="0"/>
          <w:sz w:val="28"/>
          <w:szCs w:val="28"/>
          <w:lang w:val="en-US" w:eastAsia="zh-CN" w:bidi="ar-SA"/>
        </w:rPr>
        <w:t>25ug/m³</w:t>
      </w:r>
      <w:r>
        <w:rPr>
          <w:rFonts w:hint="eastAsia" w:ascii="Times New Roman" w:hAnsi="Times New Roman" w:eastAsia="宋体" w:cs="Times New Roman"/>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PM</w:t>
      </w:r>
      <w:r>
        <w:rPr>
          <w:rFonts w:hint="default" w:ascii="Times New Roman" w:hAnsi="Times New Roman" w:eastAsia="宋体" w:cs="Times New Roman"/>
          <w:color w:val="auto"/>
          <w:kern w:val="0"/>
          <w:sz w:val="28"/>
          <w:szCs w:val="28"/>
          <w:vertAlign w:val="subscript"/>
          <w:lang w:val="en-US" w:eastAsia="zh-CN" w:bidi="ar-SA"/>
        </w:rPr>
        <w:t>10</w:t>
      </w:r>
      <w:r>
        <w:rPr>
          <w:rFonts w:hint="eastAsia" w:ascii="Times New Roman" w:hAnsi="Times New Roman" w:eastAsia="宋体" w:cs="Times New Roman"/>
          <w:color w:val="auto"/>
          <w:kern w:val="0"/>
          <w:sz w:val="28"/>
          <w:szCs w:val="28"/>
          <w:lang w:val="en-US" w:eastAsia="zh-CN" w:bidi="ar-SA"/>
        </w:rPr>
        <w:t>浓度为</w:t>
      </w:r>
      <w:r>
        <w:rPr>
          <w:rFonts w:hint="default" w:ascii="Times New Roman" w:hAnsi="Times New Roman" w:eastAsia="宋体" w:cs="Times New Roman"/>
          <w:color w:val="auto"/>
          <w:kern w:val="0"/>
          <w:sz w:val="28"/>
          <w:szCs w:val="28"/>
          <w:lang w:val="en-US" w:eastAsia="zh-CN" w:bidi="ar-SA"/>
        </w:rPr>
        <w:t>55ug/m³</w:t>
      </w:r>
      <w:r>
        <w:rPr>
          <w:rFonts w:hint="eastAsia" w:ascii="Times New Roman" w:hAnsi="Times New Roman" w:eastAsia="宋体" w:cs="Times New Roman"/>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SO</w:t>
      </w:r>
      <w:r>
        <w:rPr>
          <w:rFonts w:hint="default" w:ascii="Times New Roman" w:hAnsi="Times New Roman" w:eastAsia="宋体" w:cs="Times New Roman"/>
          <w:color w:val="auto"/>
          <w:kern w:val="0"/>
          <w:sz w:val="28"/>
          <w:szCs w:val="28"/>
          <w:vertAlign w:val="subscript"/>
          <w:lang w:val="en-US" w:eastAsia="zh-CN" w:bidi="ar-SA"/>
        </w:rPr>
        <w:t xml:space="preserve">2 </w:t>
      </w:r>
      <w:r>
        <w:rPr>
          <w:rFonts w:hint="eastAsia" w:ascii="Times New Roman" w:hAnsi="Times New Roman" w:eastAsia="宋体" w:cs="Times New Roman"/>
          <w:color w:val="auto"/>
          <w:kern w:val="0"/>
          <w:sz w:val="28"/>
          <w:szCs w:val="28"/>
          <w:lang w:val="en-US" w:eastAsia="zh-CN" w:bidi="ar-SA"/>
        </w:rPr>
        <w:t>浓度为</w:t>
      </w:r>
      <w:r>
        <w:rPr>
          <w:rFonts w:hint="default" w:ascii="Times New Roman" w:hAnsi="Times New Roman" w:eastAsia="宋体" w:cs="Times New Roman"/>
          <w:color w:val="auto"/>
          <w:kern w:val="0"/>
          <w:sz w:val="28"/>
          <w:szCs w:val="28"/>
          <w:lang w:val="en-US" w:eastAsia="zh-CN" w:bidi="ar-SA"/>
        </w:rPr>
        <w:t>13ug/m³</w:t>
      </w:r>
      <w:r>
        <w:rPr>
          <w:rFonts w:hint="eastAsia" w:ascii="Times New Roman" w:hAnsi="Times New Roman" w:eastAsia="宋体" w:cs="Times New Roman"/>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NO</w:t>
      </w:r>
      <w:r>
        <w:rPr>
          <w:rFonts w:hint="default" w:ascii="Times New Roman" w:hAnsi="Times New Roman" w:eastAsia="宋体" w:cs="Times New Roman"/>
          <w:color w:val="auto"/>
          <w:kern w:val="0"/>
          <w:sz w:val="28"/>
          <w:szCs w:val="28"/>
          <w:vertAlign w:val="subscript"/>
          <w:lang w:val="en-US" w:eastAsia="zh-CN" w:bidi="ar-SA"/>
        </w:rPr>
        <w:t>2</w:t>
      </w:r>
      <w:r>
        <w:rPr>
          <w:rFonts w:hint="eastAsia" w:ascii="Times New Roman" w:hAnsi="Times New Roman" w:eastAsia="宋体" w:cs="Times New Roman"/>
          <w:color w:val="auto"/>
          <w:kern w:val="0"/>
          <w:sz w:val="28"/>
          <w:szCs w:val="28"/>
          <w:lang w:val="en-US" w:eastAsia="zh-CN" w:bidi="ar-SA"/>
        </w:rPr>
        <w:t xml:space="preserve">浓度为 </w:t>
      </w:r>
      <w:r>
        <w:rPr>
          <w:rFonts w:hint="default" w:ascii="Times New Roman" w:hAnsi="Times New Roman" w:eastAsia="宋体" w:cs="Times New Roman"/>
          <w:color w:val="auto"/>
          <w:kern w:val="0"/>
          <w:sz w:val="28"/>
          <w:szCs w:val="28"/>
          <w:lang w:val="en-US" w:eastAsia="zh-CN" w:bidi="ar-SA"/>
        </w:rPr>
        <w:t>28ug/m³</w:t>
      </w:r>
      <w:r>
        <w:rPr>
          <w:rFonts w:hint="eastAsia" w:ascii="Times New Roman" w:hAnsi="Times New Roman" w:eastAsia="宋体" w:cs="Times New Roman"/>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CO</w:t>
      </w:r>
      <w:r>
        <w:rPr>
          <w:rFonts w:hint="eastAsia" w:ascii="Times New Roman" w:hAnsi="Times New Roman" w:eastAsia="宋体" w:cs="Times New Roman"/>
          <w:color w:val="auto"/>
          <w:kern w:val="0"/>
          <w:sz w:val="28"/>
          <w:szCs w:val="28"/>
          <w:lang w:val="en-US" w:eastAsia="zh-CN" w:bidi="ar-SA"/>
        </w:rPr>
        <w:t>浓度为</w:t>
      </w:r>
      <w:r>
        <w:rPr>
          <w:rFonts w:hint="default" w:ascii="Times New Roman" w:hAnsi="Times New Roman" w:eastAsia="宋体" w:cs="Times New Roman"/>
          <w:color w:val="auto"/>
          <w:kern w:val="0"/>
          <w:sz w:val="28"/>
          <w:szCs w:val="28"/>
          <w:lang w:val="en-US" w:eastAsia="zh-CN" w:bidi="ar-SA"/>
        </w:rPr>
        <w:t>1.02mg/m³</w:t>
      </w:r>
      <w:r>
        <w:rPr>
          <w:rFonts w:hint="eastAsia" w:ascii="Times New Roman" w:hAnsi="Times New Roman" w:eastAsia="宋体" w:cs="Times New Roman"/>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O</w:t>
      </w:r>
      <w:r>
        <w:rPr>
          <w:rFonts w:hint="default" w:ascii="Times New Roman" w:hAnsi="Times New Roman" w:eastAsia="宋体" w:cs="Times New Roman"/>
          <w:color w:val="auto"/>
          <w:kern w:val="0"/>
          <w:sz w:val="28"/>
          <w:szCs w:val="28"/>
          <w:vertAlign w:val="subscript"/>
          <w:lang w:val="en-US" w:eastAsia="zh-CN" w:bidi="ar-SA"/>
        </w:rPr>
        <w:t>3</w:t>
      </w:r>
      <w:r>
        <w:rPr>
          <w:rFonts w:hint="eastAsia" w:ascii="Times New Roman" w:hAnsi="Times New Roman" w:eastAsia="宋体" w:cs="Times New Roman"/>
          <w:color w:val="auto"/>
          <w:kern w:val="0"/>
          <w:sz w:val="28"/>
          <w:szCs w:val="28"/>
          <w:lang w:val="en-US" w:eastAsia="zh-CN" w:bidi="ar-SA"/>
        </w:rPr>
        <w:t>浓度为</w:t>
      </w:r>
      <w:r>
        <w:rPr>
          <w:rFonts w:hint="default" w:ascii="Times New Roman" w:hAnsi="Times New Roman" w:eastAsia="宋体" w:cs="Times New Roman"/>
          <w:color w:val="auto"/>
          <w:kern w:val="0"/>
          <w:sz w:val="28"/>
          <w:szCs w:val="28"/>
          <w:lang w:val="en-US" w:eastAsia="zh-CN" w:bidi="ar-SA"/>
        </w:rPr>
        <w:t>45ug/m³</w:t>
      </w:r>
      <w:r>
        <w:rPr>
          <w:rFonts w:hint="eastAsia" w:ascii="Times New Roman" w:hAnsi="Times New Roman" w:eastAsia="宋体" w:cs="Times New Roman"/>
          <w:color w:val="auto"/>
          <w:kern w:val="0"/>
          <w:sz w:val="28"/>
          <w:szCs w:val="28"/>
          <w:lang w:val="en-US" w:eastAsia="zh-CN" w:bidi="ar-SA"/>
        </w:rPr>
        <w:t>。环比2020年，</w:t>
      </w:r>
      <w:r>
        <w:rPr>
          <w:rFonts w:hint="default" w:ascii="Times New Roman" w:hAnsi="Times New Roman" w:eastAsia="宋体" w:cs="Times New Roman"/>
          <w:color w:val="auto"/>
          <w:kern w:val="0"/>
          <w:sz w:val="28"/>
          <w:szCs w:val="28"/>
          <w:lang w:val="en-US" w:eastAsia="zh-CN" w:bidi="ar-SA"/>
        </w:rPr>
        <w:t>PM</w:t>
      </w:r>
      <w:r>
        <w:rPr>
          <w:rFonts w:hint="default" w:ascii="Times New Roman" w:hAnsi="Times New Roman" w:eastAsia="宋体" w:cs="Times New Roman"/>
          <w:color w:val="auto"/>
          <w:kern w:val="0"/>
          <w:sz w:val="28"/>
          <w:szCs w:val="28"/>
          <w:vertAlign w:val="subscript"/>
          <w:lang w:val="en-US" w:eastAsia="zh-CN" w:bidi="ar-SA"/>
        </w:rPr>
        <w:t>2.5</w:t>
      </w:r>
      <w:r>
        <w:rPr>
          <w:rFonts w:hint="eastAsia" w:ascii="Times New Roman" w:hAnsi="Times New Roman" w:eastAsia="宋体" w:cs="Times New Roman"/>
          <w:color w:val="auto"/>
          <w:kern w:val="0"/>
          <w:sz w:val="28"/>
          <w:szCs w:val="28"/>
          <w:lang w:val="en-US" w:eastAsia="zh-CN" w:bidi="ar-SA"/>
        </w:rPr>
        <w:t xml:space="preserve">下降 </w:t>
      </w:r>
      <w:r>
        <w:rPr>
          <w:rFonts w:hint="default" w:ascii="Times New Roman" w:hAnsi="Times New Roman" w:eastAsia="宋体" w:cs="Times New Roman"/>
          <w:color w:val="auto"/>
          <w:kern w:val="0"/>
          <w:sz w:val="28"/>
          <w:szCs w:val="28"/>
          <w:lang w:val="en-US" w:eastAsia="zh-CN" w:bidi="ar-SA"/>
        </w:rPr>
        <w:t>36%</w:t>
      </w:r>
      <w:r>
        <w:rPr>
          <w:rFonts w:hint="eastAsia" w:ascii="Times New Roman" w:hAnsi="Times New Roman" w:eastAsia="宋体" w:cs="Times New Roman"/>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PM</w:t>
      </w:r>
      <w:r>
        <w:rPr>
          <w:rFonts w:hint="default" w:ascii="Times New Roman" w:hAnsi="Times New Roman" w:eastAsia="宋体" w:cs="Times New Roman"/>
          <w:color w:val="auto"/>
          <w:kern w:val="0"/>
          <w:sz w:val="28"/>
          <w:szCs w:val="28"/>
          <w:vertAlign w:val="subscript"/>
          <w:lang w:val="en-US" w:eastAsia="zh-CN" w:bidi="ar-SA"/>
        </w:rPr>
        <w:t>10</w:t>
      </w:r>
      <w:r>
        <w:rPr>
          <w:rFonts w:hint="eastAsia" w:ascii="Times New Roman" w:hAnsi="Times New Roman" w:eastAsia="宋体" w:cs="Times New Roman"/>
          <w:color w:val="auto"/>
          <w:kern w:val="0"/>
          <w:sz w:val="28"/>
          <w:szCs w:val="28"/>
          <w:lang w:val="en-US" w:eastAsia="zh-CN" w:bidi="ar-SA"/>
        </w:rPr>
        <w:t xml:space="preserve">下降 </w:t>
      </w:r>
      <w:r>
        <w:rPr>
          <w:rFonts w:hint="default" w:ascii="Times New Roman" w:hAnsi="Times New Roman" w:eastAsia="宋体" w:cs="Times New Roman"/>
          <w:color w:val="auto"/>
          <w:kern w:val="0"/>
          <w:sz w:val="28"/>
          <w:szCs w:val="28"/>
          <w:lang w:val="en-US" w:eastAsia="zh-CN" w:bidi="ar-SA"/>
        </w:rPr>
        <w:t>29%</w:t>
      </w:r>
      <w:r>
        <w:rPr>
          <w:rFonts w:hint="eastAsia" w:ascii="Times New Roman" w:hAnsi="Times New Roman" w:eastAsia="宋体" w:cs="Times New Roman"/>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SO</w:t>
      </w:r>
      <w:r>
        <w:rPr>
          <w:rFonts w:hint="default" w:ascii="Times New Roman" w:hAnsi="Times New Roman" w:eastAsia="宋体" w:cs="Times New Roman"/>
          <w:color w:val="auto"/>
          <w:kern w:val="0"/>
          <w:sz w:val="28"/>
          <w:szCs w:val="28"/>
          <w:vertAlign w:val="subscript"/>
          <w:lang w:val="en-US" w:eastAsia="zh-CN" w:bidi="ar-SA"/>
        </w:rPr>
        <w:t>2</w:t>
      </w:r>
      <w:r>
        <w:rPr>
          <w:rFonts w:hint="eastAsia" w:ascii="Times New Roman" w:hAnsi="Times New Roman" w:eastAsia="宋体" w:cs="Times New Roman"/>
          <w:color w:val="auto"/>
          <w:kern w:val="0"/>
          <w:sz w:val="28"/>
          <w:szCs w:val="28"/>
          <w:lang w:val="en-US" w:eastAsia="zh-CN" w:bidi="ar-SA"/>
        </w:rPr>
        <w:t>上升</w:t>
      </w:r>
      <w:r>
        <w:rPr>
          <w:rFonts w:hint="default" w:ascii="Times New Roman" w:hAnsi="Times New Roman" w:eastAsia="宋体" w:cs="Times New Roman"/>
          <w:color w:val="auto"/>
          <w:kern w:val="0"/>
          <w:sz w:val="28"/>
          <w:szCs w:val="28"/>
          <w:lang w:val="en-US" w:eastAsia="zh-CN" w:bidi="ar-SA"/>
        </w:rPr>
        <w:t>117%,NO</w:t>
      </w:r>
      <w:r>
        <w:rPr>
          <w:rFonts w:hint="default" w:ascii="Times New Roman" w:hAnsi="Times New Roman" w:eastAsia="宋体" w:cs="Times New Roman"/>
          <w:color w:val="auto"/>
          <w:kern w:val="0"/>
          <w:sz w:val="28"/>
          <w:szCs w:val="28"/>
          <w:vertAlign w:val="subscript"/>
          <w:lang w:val="en-US" w:eastAsia="zh-CN" w:bidi="ar-SA"/>
        </w:rPr>
        <w:t>2</w:t>
      </w:r>
      <w:r>
        <w:rPr>
          <w:rFonts w:hint="eastAsia" w:ascii="Times New Roman" w:hAnsi="Times New Roman" w:eastAsia="宋体" w:cs="Times New Roman"/>
          <w:color w:val="auto"/>
          <w:kern w:val="0"/>
          <w:sz w:val="28"/>
          <w:szCs w:val="28"/>
          <w:lang w:val="en-US" w:eastAsia="zh-CN" w:bidi="ar-SA"/>
        </w:rPr>
        <w:t xml:space="preserve">下降 </w:t>
      </w:r>
      <w:r>
        <w:rPr>
          <w:rFonts w:hint="default" w:ascii="Times New Roman" w:hAnsi="Times New Roman" w:eastAsia="宋体" w:cs="Times New Roman"/>
          <w:color w:val="auto"/>
          <w:kern w:val="0"/>
          <w:sz w:val="28"/>
          <w:szCs w:val="28"/>
          <w:lang w:val="en-US" w:eastAsia="zh-CN" w:bidi="ar-SA"/>
        </w:rPr>
        <w:t>35%</w:t>
      </w:r>
      <w:r>
        <w:rPr>
          <w:rFonts w:hint="eastAsia" w:ascii="Times New Roman" w:hAnsi="Times New Roman" w:eastAsia="宋体" w:cs="Times New Roman"/>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CO</w:t>
      </w:r>
      <w:r>
        <w:rPr>
          <w:rFonts w:hint="eastAsia" w:ascii="Times New Roman" w:hAnsi="Times New Roman" w:eastAsia="宋体" w:cs="Times New Roman"/>
          <w:color w:val="auto"/>
          <w:kern w:val="0"/>
          <w:sz w:val="28"/>
          <w:szCs w:val="28"/>
          <w:lang w:val="en-US" w:eastAsia="zh-CN" w:bidi="ar-SA"/>
        </w:rPr>
        <w:t xml:space="preserve">上升 </w:t>
      </w:r>
      <w:r>
        <w:rPr>
          <w:rFonts w:hint="default" w:ascii="Times New Roman" w:hAnsi="Times New Roman" w:eastAsia="宋体" w:cs="Times New Roman"/>
          <w:color w:val="auto"/>
          <w:kern w:val="0"/>
          <w:sz w:val="28"/>
          <w:szCs w:val="28"/>
          <w:lang w:val="en-US" w:eastAsia="zh-CN" w:bidi="ar-SA"/>
        </w:rPr>
        <w:t>34%</w:t>
      </w:r>
      <w:r>
        <w:rPr>
          <w:rFonts w:hint="eastAsia" w:ascii="Times New Roman" w:hAnsi="Times New Roman" w:eastAsia="宋体" w:cs="Times New Roman"/>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O</w:t>
      </w:r>
      <w:r>
        <w:rPr>
          <w:rFonts w:hint="default" w:ascii="Times New Roman" w:hAnsi="Times New Roman" w:eastAsia="宋体" w:cs="Times New Roman"/>
          <w:color w:val="auto"/>
          <w:kern w:val="0"/>
          <w:sz w:val="28"/>
          <w:szCs w:val="28"/>
          <w:vertAlign w:val="subscript"/>
          <w:lang w:val="en-US" w:eastAsia="zh-CN" w:bidi="ar-SA"/>
        </w:rPr>
        <w:t>3</w:t>
      </w:r>
      <w:r>
        <w:rPr>
          <w:rFonts w:hint="eastAsia" w:ascii="Times New Roman" w:hAnsi="Times New Roman" w:eastAsia="宋体" w:cs="Times New Roman"/>
          <w:color w:val="auto"/>
          <w:kern w:val="0"/>
          <w:sz w:val="28"/>
          <w:szCs w:val="28"/>
          <w:lang w:val="en-US" w:eastAsia="zh-CN" w:bidi="ar-SA"/>
        </w:rPr>
        <w:t xml:space="preserve">上升 </w:t>
      </w:r>
      <w:r>
        <w:rPr>
          <w:rFonts w:hint="default" w:ascii="Times New Roman" w:hAnsi="Times New Roman" w:eastAsia="宋体" w:cs="Times New Roman"/>
          <w:color w:val="auto"/>
          <w:kern w:val="0"/>
          <w:sz w:val="28"/>
          <w:szCs w:val="28"/>
          <w:lang w:val="en-US" w:eastAsia="zh-CN" w:bidi="ar-SA"/>
        </w:rPr>
        <w:t>67%</w:t>
      </w:r>
      <w:r>
        <w:rPr>
          <w:rFonts w:hint="eastAsia" w:ascii="Times New Roman" w:hAnsi="Times New Roman" w:eastAsia="宋体" w:cs="Times New Roman"/>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2021</w:t>
      </w:r>
      <w:r>
        <w:rPr>
          <w:rFonts w:hint="eastAsia" w:ascii="Times New Roman" w:hAnsi="Times New Roman" w:eastAsia="宋体" w:cs="Times New Roman"/>
          <w:color w:val="auto"/>
          <w:kern w:val="0"/>
          <w:sz w:val="28"/>
          <w:szCs w:val="28"/>
          <w:lang w:val="en-US" w:eastAsia="zh-CN" w:bidi="ar-SA"/>
        </w:rPr>
        <w:t xml:space="preserve">年，沅陵工业集中区离线 6 天，累积优良天数 </w:t>
      </w:r>
      <w:r>
        <w:rPr>
          <w:rFonts w:hint="default" w:ascii="Times New Roman" w:hAnsi="Times New Roman" w:eastAsia="宋体" w:cs="Times New Roman"/>
          <w:color w:val="auto"/>
          <w:kern w:val="0"/>
          <w:sz w:val="28"/>
          <w:szCs w:val="28"/>
          <w:lang w:val="en-US" w:eastAsia="zh-CN" w:bidi="ar-SA"/>
        </w:rPr>
        <w:t xml:space="preserve">351 </w:t>
      </w:r>
      <w:r>
        <w:rPr>
          <w:rFonts w:hint="eastAsia" w:ascii="Times New Roman" w:hAnsi="Times New Roman" w:eastAsia="宋体" w:cs="Times New Roman"/>
          <w:color w:val="auto"/>
          <w:kern w:val="0"/>
          <w:sz w:val="28"/>
          <w:szCs w:val="28"/>
          <w:lang w:val="en-US" w:eastAsia="zh-CN" w:bidi="ar-SA"/>
        </w:rPr>
        <w:t>天，园区环境空气质量指数优良天数比例达97%以上，未对沅陵县城市空气质量产生影响。</w:t>
      </w:r>
    </w:p>
    <w:p>
      <w:pPr>
        <w:snapToGrid w:val="0"/>
        <w:jc w:val="center"/>
        <w:rPr>
          <w:rFonts w:ascii="Times New Roman" w:hAnsi="Times New Roman" w:cs="Times New Roman" w:eastAsiaTheme="minorEastAsia"/>
          <w:b/>
          <w:bCs/>
          <w:color w:val="auto"/>
          <w:sz w:val="22"/>
        </w:rPr>
      </w:pPr>
      <w:r>
        <w:rPr>
          <w:rFonts w:ascii="Times New Roman" w:hAnsi="Times New Roman" w:cs="Times New Roman" w:eastAsiaTheme="minorEastAsia"/>
          <w:b/>
          <w:bCs/>
          <w:color w:val="auto"/>
          <w:sz w:val="22"/>
        </w:rPr>
        <w:t>表</w:t>
      </w:r>
      <w:r>
        <w:rPr>
          <w:rFonts w:hint="eastAsia" w:ascii="Times New Roman" w:hAnsi="Times New Roman" w:cs="Times New Roman" w:eastAsiaTheme="minorEastAsia"/>
          <w:b/>
          <w:bCs/>
          <w:color w:val="auto"/>
          <w:sz w:val="22"/>
        </w:rPr>
        <w:t>5</w:t>
      </w:r>
      <w:r>
        <w:rPr>
          <w:rFonts w:ascii="Times New Roman" w:hAnsi="Times New Roman" w:cs="Times New Roman" w:eastAsiaTheme="minorEastAsia"/>
          <w:b/>
          <w:bCs/>
          <w:color w:val="auto"/>
          <w:sz w:val="22"/>
        </w:rPr>
        <w:t xml:space="preserve">  </w:t>
      </w:r>
      <w:r>
        <w:rPr>
          <w:rFonts w:hint="eastAsia" w:ascii="Times New Roman" w:hAnsi="Times New Roman" w:cs="Times New Roman" w:eastAsiaTheme="minorEastAsia"/>
          <w:b/>
          <w:bCs/>
          <w:color w:val="auto"/>
          <w:sz w:val="22"/>
          <w:lang w:eastAsia="zh-CN"/>
        </w:rPr>
        <w:t>沅陵产业开发区</w:t>
      </w:r>
      <w:r>
        <w:rPr>
          <w:rFonts w:ascii="Times New Roman" w:hAnsi="Times New Roman" w:cs="Times New Roman" w:eastAsiaTheme="minorEastAsia"/>
          <w:b/>
          <w:bCs/>
          <w:color w:val="auto"/>
          <w:sz w:val="22"/>
        </w:rPr>
        <w:t>环境空气质量监测情况</w:t>
      </w:r>
    </w:p>
    <w:tbl>
      <w:tblPr>
        <w:tblStyle w:val="18"/>
        <w:tblW w:w="5000" w:type="pct"/>
        <w:jc w:val="center"/>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52"/>
        <w:gridCol w:w="1573"/>
        <w:gridCol w:w="2674"/>
        <w:gridCol w:w="1808"/>
        <w:gridCol w:w="1715"/>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441" w:type="pct"/>
            <w:vAlign w:val="center"/>
          </w:tcPr>
          <w:p>
            <w:pPr>
              <w:snapToGrid w:val="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序号</w:t>
            </w:r>
          </w:p>
        </w:tc>
        <w:tc>
          <w:tcPr>
            <w:tcW w:w="923" w:type="pct"/>
            <w:vAlign w:val="center"/>
          </w:tcPr>
          <w:p>
            <w:pPr>
              <w:snapToGrid w:val="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监测点名称</w:t>
            </w:r>
          </w:p>
        </w:tc>
        <w:tc>
          <w:tcPr>
            <w:tcW w:w="1569" w:type="pct"/>
            <w:vAlign w:val="center"/>
          </w:tcPr>
          <w:p>
            <w:pPr>
              <w:snapToGrid w:val="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监测项目</w:t>
            </w:r>
          </w:p>
        </w:tc>
        <w:tc>
          <w:tcPr>
            <w:tcW w:w="1061" w:type="pct"/>
            <w:vAlign w:val="center"/>
          </w:tcPr>
          <w:p>
            <w:pPr>
              <w:snapToGrid w:val="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监测频次</w:t>
            </w:r>
          </w:p>
        </w:tc>
        <w:tc>
          <w:tcPr>
            <w:tcW w:w="1007" w:type="pct"/>
            <w:vAlign w:val="center"/>
          </w:tcPr>
          <w:p>
            <w:pPr>
              <w:snapToGrid w:val="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达标率</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441" w:type="pct"/>
            <w:vAlign w:val="center"/>
          </w:tcPr>
          <w:p>
            <w:pPr>
              <w:snapToGrid w:val="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w:t>
            </w:r>
          </w:p>
        </w:tc>
        <w:tc>
          <w:tcPr>
            <w:tcW w:w="923" w:type="pct"/>
            <w:vAlign w:val="center"/>
          </w:tcPr>
          <w:p>
            <w:pPr>
              <w:snapToGrid w:val="0"/>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沅陵产业开发区</w:t>
            </w:r>
          </w:p>
        </w:tc>
        <w:tc>
          <w:tcPr>
            <w:tcW w:w="1569" w:type="pct"/>
            <w:vAlign w:val="center"/>
          </w:tcPr>
          <w:p>
            <w:pPr>
              <w:snapToGrid w:val="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SO</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、NO</w:t>
            </w:r>
            <w:r>
              <w:rPr>
                <w:rFonts w:ascii="Times New Roman" w:hAnsi="Times New Roman" w:cs="Times New Roman" w:eastAsiaTheme="minorEastAsia"/>
                <w:color w:val="auto"/>
                <w:sz w:val="21"/>
                <w:szCs w:val="21"/>
                <w:vertAlign w:val="subscript"/>
              </w:rPr>
              <w:t>2</w:t>
            </w:r>
            <w:r>
              <w:rPr>
                <w:rFonts w:ascii="Times New Roman" w:hAnsi="Times New Roman" w:cs="Times New Roman" w:eastAsiaTheme="minorEastAsia"/>
                <w:color w:val="auto"/>
                <w:sz w:val="21"/>
                <w:szCs w:val="21"/>
              </w:rPr>
              <w:t>、PM</w:t>
            </w:r>
            <w:r>
              <w:rPr>
                <w:rFonts w:ascii="Times New Roman" w:hAnsi="Times New Roman" w:cs="Times New Roman" w:eastAsiaTheme="minorEastAsia"/>
                <w:color w:val="auto"/>
                <w:sz w:val="21"/>
                <w:szCs w:val="21"/>
                <w:vertAlign w:val="subscript"/>
              </w:rPr>
              <w:t>10</w:t>
            </w:r>
            <w:r>
              <w:rPr>
                <w:rFonts w:ascii="Times New Roman" w:hAnsi="Times New Roman" w:cs="Times New Roman" w:eastAsiaTheme="minorEastAsia"/>
                <w:color w:val="auto"/>
                <w:sz w:val="21"/>
                <w:szCs w:val="21"/>
              </w:rPr>
              <w:t>、PM</w:t>
            </w:r>
            <w:r>
              <w:rPr>
                <w:rFonts w:ascii="Times New Roman" w:hAnsi="Times New Roman" w:cs="Times New Roman" w:eastAsiaTheme="minorEastAsia"/>
                <w:color w:val="auto"/>
                <w:sz w:val="21"/>
                <w:szCs w:val="21"/>
                <w:vertAlign w:val="subscript"/>
              </w:rPr>
              <w:t>2.5</w:t>
            </w:r>
            <w:r>
              <w:rPr>
                <w:rFonts w:ascii="Times New Roman" w:hAnsi="Times New Roman" w:cs="Times New Roman" w:eastAsiaTheme="minorEastAsia"/>
                <w:color w:val="auto"/>
                <w:sz w:val="21"/>
                <w:szCs w:val="21"/>
              </w:rPr>
              <w:t>、CO、O</w:t>
            </w:r>
            <w:r>
              <w:rPr>
                <w:rFonts w:ascii="Times New Roman" w:hAnsi="Times New Roman" w:cs="Times New Roman" w:eastAsiaTheme="minorEastAsia"/>
                <w:color w:val="auto"/>
                <w:sz w:val="21"/>
                <w:szCs w:val="21"/>
                <w:vertAlign w:val="subscript"/>
              </w:rPr>
              <w:t>3</w:t>
            </w:r>
          </w:p>
        </w:tc>
        <w:tc>
          <w:tcPr>
            <w:tcW w:w="1061" w:type="pct"/>
            <w:vAlign w:val="center"/>
          </w:tcPr>
          <w:p>
            <w:pPr>
              <w:snapToGrid w:val="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1次/天（日均值）</w:t>
            </w:r>
          </w:p>
        </w:tc>
        <w:tc>
          <w:tcPr>
            <w:tcW w:w="1007" w:type="pct"/>
            <w:vAlign w:val="center"/>
          </w:tcPr>
          <w:p>
            <w:pPr>
              <w:snapToGrid w:val="0"/>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100</w:t>
            </w:r>
            <w:r>
              <w:rPr>
                <w:rFonts w:ascii="Times New Roman" w:hAnsi="Times New Roman" w:cs="Times New Roman" w:eastAsiaTheme="minorEastAsia"/>
                <w:color w:val="auto"/>
                <w:sz w:val="21"/>
                <w:szCs w:val="21"/>
              </w:rPr>
              <w:t>%</w:t>
            </w:r>
          </w:p>
        </w:tc>
      </w:tr>
    </w:tbl>
    <w:p>
      <w:pPr>
        <w:pStyle w:val="17"/>
        <w:keepNext w:val="0"/>
        <w:keepLines w:val="0"/>
        <w:pageBreakBefore w:val="0"/>
        <w:widowControl w:val="0"/>
        <w:kinsoku/>
        <w:wordWrap/>
        <w:overflowPunct/>
        <w:topLinePunct w:val="0"/>
        <w:autoSpaceDE/>
        <w:autoSpaceDN/>
        <w:bidi w:val="0"/>
        <w:adjustRightInd/>
        <w:snapToGrid w:val="0"/>
        <w:spacing w:before="157" w:beforeLines="50" w:after="0" w:line="600" w:lineRule="exact"/>
        <w:ind w:left="420" w:leftChars="0" w:firstLine="0" w:firstLineChars="0"/>
        <w:textAlignment w:val="auto"/>
        <w:outlineLvl w:val="1"/>
        <w:rPr>
          <w:rFonts w:ascii="Times New Roman" w:hAnsi="Times New Roman" w:eastAsiaTheme="minorEastAsia"/>
          <w:b/>
          <w:color w:val="auto"/>
          <w:sz w:val="28"/>
          <w:szCs w:val="32"/>
        </w:rPr>
      </w:pPr>
      <w:bookmarkStart w:id="16" w:name="_Toc68103681"/>
      <w:r>
        <w:rPr>
          <w:rFonts w:ascii="Times New Roman" w:hAnsi="Times New Roman" w:eastAsiaTheme="minorEastAsia"/>
          <w:b/>
          <w:color w:val="auto"/>
          <w:sz w:val="28"/>
          <w:szCs w:val="32"/>
        </w:rPr>
        <w:t>（五）土壤环境管理</w:t>
      </w:r>
      <w:bookmarkEnd w:id="16"/>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ascii="Times New Roman" w:hAnsi="Times New Roman" w:eastAsiaTheme="minorEastAsia"/>
          <w:color w:val="auto"/>
          <w:sz w:val="28"/>
          <w:szCs w:val="28"/>
        </w:rPr>
      </w:pPr>
      <w:r>
        <w:rPr>
          <w:rFonts w:hint="eastAsia" w:ascii="Times New Roman" w:hAnsi="Times New Roman" w:eastAsiaTheme="minorEastAsia"/>
          <w:color w:val="auto"/>
          <w:spacing w:val="-11"/>
          <w:sz w:val="28"/>
          <w:szCs w:val="28"/>
          <w:lang w:eastAsia="zh-CN"/>
        </w:rPr>
        <w:t>沅陵产业开发区</w:t>
      </w:r>
      <w:r>
        <w:rPr>
          <w:rFonts w:ascii="Times New Roman" w:hAnsi="Times New Roman" w:eastAsiaTheme="minorEastAsia"/>
          <w:color w:val="auto"/>
          <w:spacing w:val="-11"/>
          <w:sz w:val="28"/>
          <w:szCs w:val="28"/>
        </w:rPr>
        <w:t>内不涉及污染地块</w:t>
      </w:r>
      <w:r>
        <w:rPr>
          <w:rFonts w:hint="eastAsia" w:ascii="Times New Roman" w:hAnsi="Times New Roman" w:eastAsiaTheme="minorEastAsia"/>
          <w:color w:val="auto"/>
          <w:spacing w:val="-11"/>
          <w:sz w:val="28"/>
          <w:szCs w:val="28"/>
        </w:rPr>
        <w:t>，不涉及土壤环境重点监管企业</w:t>
      </w:r>
      <w:r>
        <w:rPr>
          <w:rFonts w:hint="eastAsia" w:ascii="Times New Roman" w:hAnsi="Times New Roman" w:eastAsiaTheme="minorEastAsia"/>
          <w:color w:val="auto"/>
          <w:sz w:val="28"/>
          <w:szCs w:val="28"/>
        </w:rPr>
        <w:t>。</w:t>
      </w:r>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hint="eastAsia" w:ascii="Times New Roman" w:hAnsi="Times New Roman" w:eastAsiaTheme="minorEastAsia"/>
          <w:color w:val="auto"/>
          <w:sz w:val="28"/>
          <w:szCs w:val="32"/>
          <w:lang w:val="en-US" w:eastAsia="zh-CN"/>
        </w:rPr>
      </w:pPr>
      <w:r>
        <w:rPr>
          <w:rFonts w:hint="eastAsia" w:ascii="Times New Roman" w:hAnsi="Times New Roman" w:eastAsiaTheme="minorEastAsia"/>
          <w:color w:val="auto"/>
          <w:sz w:val="28"/>
          <w:szCs w:val="32"/>
          <w:lang w:eastAsia="zh-CN"/>
        </w:rPr>
        <w:t>2021年</w:t>
      </w:r>
      <w:r>
        <w:rPr>
          <w:rFonts w:ascii="Times New Roman" w:hAnsi="Times New Roman" w:eastAsiaTheme="minorEastAsia"/>
          <w:color w:val="auto"/>
          <w:sz w:val="28"/>
          <w:szCs w:val="32"/>
        </w:rPr>
        <w:t>，</w:t>
      </w:r>
      <w:r>
        <w:rPr>
          <w:rFonts w:hint="eastAsia" w:ascii="Times New Roman" w:hAnsi="Times New Roman" w:eastAsiaTheme="minorEastAsia"/>
          <w:color w:val="auto"/>
          <w:sz w:val="28"/>
          <w:szCs w:val="32"/>
          <w:lang w:val="en-US" w:eastAsia="zh-CN"/>
        </w:rPr>
        <w:t>为了解园区土壤环境质量现状情况，园区在园区跟踪环境影响评价过程中委托有资质的第三方监测公司对园区内北部农田、园区内南部以及园区内污水处理厂三个监测点位的建设用地开展了土壤环境质量现状检测，根据相关检测结果，园区区域内建设用地土壤环境各项评价因子均满足《土壤环境质量建设用地土壤污染风险管控标准》（GB36600-2018）中表1第二类用地的标准限值要求；开发区周边农用地土壤满足《土壤环境质量 农用地土壤污染风险管控标准》（试行）（GB15618-2018）中风险筛选值和管控值。</w:t>
      </w:r>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hint="default" w:ascii="Times New Roman" w:hAnsi="Times New Roman" w:eastAsiaTheme="minorEastAsia"/>
          <w:color w:val="auto"/>
          <w:sz w:val="28"/>
          <w:szCs w:val="32"/>
          <w:lang w:val="en-US" w:eastAsia="zh-CN"/>
        </w:rPr>
      </w:pPr>
    </w:p>
    <w:p>
      <w:pPr>
        <w:pStyle w:val="17"/>
        <w:keepNext w:val="0"/>
        <w:keepLines w:val="0"/>
        <w:pageBreakBefore w:val="0"/>
        <w:widowControl w:val="0"/>
        <w:kinsoku/>
        <w:wordWrap/>
        <w:overflowPunct/>
        <w:topLinePunct w:val="0"/>
        <w:autoSpaceDE/>
        <w:autoSpaceDN/>
        <w:bidi w:val="0"/>
        <w:adjustRightInd/>
        <w:snapToGrid w:val="0"/>
        <w:spacing w:before="157" w:beforeLines="50" w:after="0" w:line="600" w:lineRule="exact"/>
        <w:ind w:left="420" w:leftChars="0" w:firstLine="0" w:firstLineChars="0"/>
        <w:textAlignment w:val="auto"/>
        <w:outlineLvl w:val="1"/>
        <w:rPr>
          <w:rFonts w:ascii="Times New Roman" w:hAnsi="Times New Roman" w:eastAsiaTheme="minorEastAsia"/>
          <w:b/>
          <w:color w:val="auto"/>
          <w:sz w:val="28"/>
          <w:szCs w:val="32"/>
        </w:rPr>
      </w:pPr>
      <w:bookmarkStart w:id="17" w:name="_Toc68103682"/>
      <w:r>
        <w:rPr>
          <w:rFonts w:ascii="Times New Roman" w:hAnsi="Times New Roman" w:eastAsiaTheme="minorEastAsia"/>
          <w:b/>
          <w:color w:val="auto"/>
          <w:sz w:val="28"/>
          <w:szCs w:val="32"/>
        </w:rPr>
        <w:t>（六）固体废物管理</w:t>
      </w:r>
      <w:bookmarkEnd w:id="17"/>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0"/>
        <w:textAlignment w:val="auto"/>
        <w:rPr>
          <w:rFonts w:ascii="Times New Roman" w:hAnsi="Times New Roman" w:eastAsiaTheme="minorEastAsia"/>
          <w:color w:val="auto"/>
          <w:sz w:val="28"/>
          <w:szCs w:val="32"/>
        </w:rPr>
      </w:pPr>
      <w:r>
        <w:rPr>
          <w:rFonts w:hint="eastAsia" w:ascii="Times New Roman" w:hAnsi="Times New Roman" w:eastAsiaTheme="minorEastAsia"/>
          <w:color w:val="auto"/>
          <w:sz w:val="28"/>
          <w:szCs w:val="32"/>
          <w:lang w:eastAsia="zh-CN"/>
        </w:rPr>
        <w:t>2021年</w:t>
      </w:r>
      <w:r>
        <w:rPr>
          <w:rFonts w:hint="eastAsia" w:ascii="Times New Roman" w:hAnsi="Times New Roman" w:eastAsiaTheme="minorEastAsia"/>
          <w:color w:val="auto"/>
          <w:sz w:val="28"/>
          <w:szCs w:val="32"/>
        </w:rPr>
        <w:t>度，</w:t>
      </w:r>
      <w:r>
        <w:rPr>
          <w:rFonts w:hint="eastAsia" w:ascii="Times New Roman" w:hAnsi="Times New Roman" w:eastAsiaTheme="minorEastAsia"/>
          <w:color w:val="auto"/>
          <w:sz w:val="28"/>
          <w:szCs w:val="32"/>
          <w:lang w:eastAsia="zh-CN"/>
        </w:rPr>
        <w:t>沅陵产业开发区</w:t>
      </w:r>
      <w:r>
        <w:rPr>
          <w:rFonts w:ascii="Times New Roman" w:hAnsi="Times New Roman" w:eastAsiaTheme="minorEastAsia"/>
          <w:color w:val="auto"/>
          <w:sz w:val="28"/>
          <w:szCs w:val="32"/>
        </w:rPr>
        <w:t>一般工业固体废物产生企业数量</w:t>
      </w:r>
      <w:r>
        <w:rPr>
          <w:rFonts w:hint="eastAsia" w:ascii="Times New Roman" w:hAnsi="Times New Roman" w:eastAsiaTheme="minorEastAsia"/>
          <w:color w:val="auto"/>
          <w:sz w:val="28"/>
          <w:szCs w:val="32"/>
          <w:lang w:val="en-US" w:eastAsia="zh-CN"/>
        </w:rPr>
        <w:t>11</w:t>
      </w:r>
      <w:r>
        <w:rPr>
          <w:rFonts w:ascii="Times New Roman" w:hAnsi="Times New Roman" w:eastAsiaTheme="minorEastAsia"/>
          <w:color w:val="auto"/>
          <w:sz w:val="28"/>
          <w:szCs w:val="32"/>
        </w:rPr>
        <w:t>个，产生量</w:t>
      </w:r>
      <w:r>
        <w:rPr>
          <w:rFonts w:hint="eastAsia" w:ascii="Times New Roman" w:hAnsi="Times New Roman" w:eastAsiaTheme="minorEastAsia"/>
          <w:color w:val="auto"/>
          <w:sz w:val="28"/>
          <w:szCs w:val="32"/>
          <w:lang w:val="en-US" w:eastAsia="zh-CN"/>
        </w:rPr>
        <w:t>1976.9</w:t>
      </w:r>
      <w:r>
        <w:rPr>
          <w:rFonts w:ascii="Times New Roman" w:hAnsi="Times New Roman" w:eastAsiaTheme="minorEastAsia"/>
          <w:color w:val="auto"/>
          <w:sz w:val="28"/>
          <w:szCs w:val="32"/>
        </w:rPr>
        <w:t>t/a，其中，自行综合利用</w:t>
      </w:r>
      <w:r>
        <w:rPr>
          <w:rFonts w:hint="eastAsia" w:ascii="Times New Roman" w:hAnsi="Times New Roman" w:eastAsiaTheme="minorEastAsia"/>
          <w:color w:val="auto"/>
          <w:sz w:val="28"/>
          <w:szCs w:val="32"/>
          <w:lang w:val="en-US" w:eastAsia="zh-CN"/>
        </w:rPr>
        <w:t>16.5</w:t>
      </w:r>
      <w:r>
        <w:rPr>
          <w:rFonts w:ascii="Times New Roman" w:hAnsi="Times New Roman" w:eastAsiaTheme="minorEastAsia"/>
          <w:color w:val="auto"/>
          <w:sz w:val="28"/>
          <w:szCs w:val="32"/>
        </w:rPr>
        <w:t>t/a，</w:t>
      </w:r>
      <w:r>
        <w:rPr>
          <w:rFonts w:hint="eastAsia" w:ascii="Times New Roman" w:hAnsi="Times New Roman" w:eastAsiaTheme="minorEastAsia"/>
          <w:color w:val="auto"/>
          <w:sz w:val="28"/>
          <w:szCs w:val="32"/>
          <w:lang w:val="en-US" w:eastAsia="zh-CN"/>
        </w:rPr>
        <w:t>自行</w:t>
      </w:r>
      <w:r>
        <w:rPr>
          <w:rFonts w:ascii="Times New Roman" w:hAnsi="Times New Roman" w:eastAsiaTheme="minorEastAsia"/>
          <w:color w:val="auto"/>
          <w:sz w:val="28"/>
          <w:szCs w:val="32"/>
        </w:rPr>
        <w:t>处置</w:t>
      </w:r>
      <w:r>
        <w:rPr>
          <w:rFonts w:hint="eastAsia" w:ascii="Times New Roman" w:hAnsi="Times New Roman" w:eastAsiaTheme="minorEastAsia"/>
          <w:color w:val="auto"/>
          <w:sz w:val="28"/>
          <w:szCs w:val="32"/>
          <w:lang w:val="en-US" w:eastAsia="zh-CN"/>
        </w:rPr>
        <w:t>279.8</w:t>
      </w:r>
      <w:r>
        <w:rPr>
          <w:rFonts w:ascii="Times New Roman" w:hAnsi="Times New Roman" w:eastAsiaTheme="minorEastAsia"/>
          <w:color w:val="auto"/>
          <w:sz w:val="28"/>
          <w:szCs w:val="32"/>
        </w:rPr>
        <w:t>t/a</w:t>
      </w:r>
      <w:r>
        <w:rPr>
          <w:rFonts w:hint="eastAsia" w:ascii="Times New Roman" w:hAnsi="Times New Roman" w:eastAsiaTheme="minorEastAsia"/>
          <w:color w:val="auto"/>
          <w:sz w:val="28"/>
          <w:szCs w:val="32"/>
          <w:lang w:eastAsia="zh-CN"/>
        </w:rPr>
        <w:t>，</w:t>
      </w:r>
      <w:r>
        <w:rPr>
          <w:rFonts w:hint="eastAsia" w:ascii="Times New Roman" w:hAnsi="Times New Roman" w:eastAsiaTheme="minorEastAsia"/>
          <w:color w:val="auto"/>
          <w:sz w:val="28"/>
          <w:szCs w:val="32"/>
          <w:lang w:val="en-US" w:eastAsia="zh-CN"/>
        </w:rPr>
        <w:t>委托处理1680.6</w:t>
      </w:r>
      <w:r>
        <w:rPr>
          <w:rFonts w:ascii="Times New Roman" w:hAnsi="Times New Roman" w:eastAsiaTheme="minorEastAsia"/>
          <w:color w:val="auto"/>
          <w:sz w:val="28"/>
          <w:szCs w:val="32"/>
        </w:rPr>
        <w:t>t/a。园区危险废物产生</w:t>
      </w:r>
      <w:r>
        <w:rPr>
          <w:rFonts w:ascii="Times New Roman" w:hAnsi="Times New Roman" w:eastAsiaTheme="minorEastAsia"/>
          <w:color w:val="auto"/>
          <w:sz w:val="28"/>
          <w:szCs w:val="32"/>
          <w:highlight w:val="none"/>
        </w:rPr>
        <w:t>企业数量</w:t>
      </w:r>
      <w:r>
        <w:rPr>
          <w:rFonts w:hint="eastAsia" w:ascii="Times New Roman" w:hAnsi="Times New Roman" w:eastAsiaTheme="minorEastAsia"/>
          <w:color w:val="auto"/>
          <w:sz w:val="28"/>
          <w:szCs w:val="32"/>
          <w:highlight w:val="none"/>
          <w:lang w:val="en-US" w:eastAsia="zh-CN"/>
        </w:rPr>
        <w:t>2</w:t>
      </w:r>
      <w:r>
        <w:rPr>
          <w:rFonts w:ascii="Times New Roman" w:hAnsi="Times New Roman" w:eastAsiaTheme="minorEastAsia"/>
          <w:color w:val="auto"/>
          <w:sz w:val="28"/>
          <w:szCs w:val="32"/>
          <w:highlight w:val="none"/>
        </w:rPr>
        <w:t>个，产生量</w:t>
      </w:r>
      <w:r>
        <w:rPr>
          <w:rFonts w:hint="eastAsia" w:ascii="Times New Roman" w:hAnsi="Times New Roman" w:eastAsiaTheme="minorEastAsia"/>
          <w:color w:val="auto"/>
          <w:sz w:val="28"/>
          <w:szCs w:val="32"/>
          <w:lang w:val="en-US" w:eastAsia="zh-CN"/>
        </w:rPr>
        <w:t>233.638</w:t>
      </w:r>
      <w:r>
        <w:rPr>
          <w:rFonts w:ascii="Times New Roman" w:hAnsi="Times New Roman" w:eastAsiaTheme="minorEastAsia"/>
          <w:color w:val="auto"/>
          <w:sz w:val="28"/>
          <w:szCs w:val="32"/>
        </w:rPr>
        <w:t>t/a</w:t>
      </w:r>
      <w:r>
        <w:rPr>
          <w:rFonts w:ascii="Times New Roman" w:hAnsi="Times New Roman" w:eastAsiaTheme="minorEastAsia"/>
          <w:color w:val="auto"/>
          <w:sz w:val="28"/>
          <w:szCs w:val="32"/>
          <w:highlight w:val="none"/>
        </w:rPr>
        <w:t>，外委处置</w:t>
      </w:r>
      <w:r>
        <w:rPr>
          <w:rFonts w:hint="eastAsia" w:ascii="Times New Roman" w:hAnsi="Times New Roman" w:eastAsiaTheme="minorEastAsia"/>
          <w:color w:val="auto"/>
          <w:sz w:val="28"/>
          <w:szCs w:val="32"/>
          <w:highlight w:val="none"/>
          <w:lang w:val="en-US" w:eastAsia="zh-CN"/>
        </w:rPr>
        <w:t>233.638</w:t>
      </w:r>
      <w:r>
        <w:rPr>
          <w:rFonts w:ascii="Times New Roman" w:hAnsi="Times New Roman" w:eastAsiaTheme="minorEastAsia"/>
          <w:color w:val="auto"/>
          <w:sz w:val="28"/>
          <w:szCs w:val="32"/>
          <w:highlight w:val="none"/>
        </w:rPr>
        <w:t>t/a</w:t>
      </w:r>
      <w:r>
        <w:rPr>
          <w:rFonts w:hint="eastAsia" w:ascii="Times New Roman" w:hAnsi="Times New Roman" w:eastAsiaTheme="minorEastAsia"/>
          <w:color w:val="auto"/>
          <w:sz w:val="28"/>
          <w:szCs w:val="32"/>
          <w:highlight w:val="none"/>
          <w:lang w:eastAsia="zh-CN"/>
        </w:rPr>
        <w:t>。</w:t>
      </w:r>
    </w:p>
    <w:p>
      <w:pPr>
        <w:pStyle w:val="49"/>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eastAsiaTheme="minorEastAsia"/>
          <w:color w:val="auto"/>
          <w:kern w:val="2"/>
          <w:sz w:val="28"/>
          <w:szCs w:val="32"/>
          <w:lang w:val="en-US" w:eastAsia="zh-CN" w:bidi="ar-SA"/>
        </w:rPr>
      </w:pPr>
      <w:r>
        <w:rPr>
          <w:rFonts w:hint="eastAsia" w:ascii="Times New Roman" w:hAnsi="Times New Roman" w:cs="Times New Roman" w:eastAsiaTheme="minorEastAsia"/>
          <w:color w:val="auto"/>
          <w:kern w:val="2"/>
          <w:sz w:val="28"/>
          <w:szCs w:val="32"/>
          <w:lang w:val="en-US" w:eastAsia="zh-CN" w:bidi="ar-SA"/>
        </w:rPr>
        <w:t>园区内</w:t>
      </w:r>
      <w:r>
        <w:rPr>
          <w:rFonts w:hint="eastAsia" w:cs="Times New Roman" w:eastAsiaTheme="minorEastAsia"/>
          <w:color w:val="auto"/>
          <w:kern w:val="2"/>
          <w:sz w:val="28"/>
          <w:szCs w:val="32"/>
          <w:lang w:val="en-US" w:eastAsia="zh-CN" w:bidi="ar-SA"/>
        </w:rPr>
        <w:t>暂未</w:t>
      </w:r>
      <w:r>
        <w:rPr>
          <w:rFonts w:hint="eastAsia" w:ascii="Times New Roman" w:hAnsi="Times New Roman" w:cs="Times New Roman" w:eastAsiaTheme="minorEastAsia"/>
          <w:color w:val="auto"/>
          <w:kern w:val="2"/>
          <w:sz w:val="28"/>
          <w:szCs w:val="32"/>
          <w:lang w:val="en-US" w:eastAsia="zh-CN" w:bidi="ar-SA"/>
        </w:rPr>
        <w:t>集中的工业固废处理设施，一般工业固废大多可作为原料回用至工艺生产中，剩余一般工业固体废物送往沅陵县垃圾填埋场；园区已建立了危险废物监管体系，高度重视对园区危废产生企业的规范化管理，包括危险废物的产生、转移及处置全过程的监督管理工作，对不符合国家固废及危废管理要求的企业，下达整改通知并督促其整改到位。危险废物由集中区内企业暂存于各企业危废暂存库内，委托有危废处理资质单位进行处置。</w:t>
      </w:r>
    </w:p>
    <w:p>
      <w:pPr>
        <w:pStyle w:val="17"/>
        <w:keepNext w:val="0"/>
        <w:keepLines w:val="0"/>
        <w:pageBreakBefore w:val="0"/>
        <w:widowControl w:val="0"/>
        <w:kinsoku/>
        <w:wordWrap/>
        <w:overflowPunct/>
        <w:topLinePunct w:val="0"/>
        <w:autoSpaceDE/>
        <w:autoSpaceDN/>
        <w:bidi w:val="0"/>
        <w:adjustRightInd/>
        <w:snapToGrid w:val="0"/>
        <w:spacing w:after="0" w:line="600" w:lineRule="exact"/>
        <w:ind w:left="0" w:leftChars="0" w:firstLine="562"/>
        <w:textAlignment w:val="auto"/>
        <w:outlineLvl w:val="1"/>
        <w:rPr>
          <w:rFonts w:ascii="Times New Roman" w:hAnsi="Times New Roman" w:eastAsiaTheme="minorEastAsia"/>
          <w:b/>
          <w:color w:val="auto"/>
          <w:sz w:val="28"/>
          <w:szCs w:val="32"/>
        </w:rPr>
      </w:pPr>
      <w:bookmarkStart w:id="18" w:name="_Toc68103683"/>
      <w:r>
        <w:rPr>
          <w:rFonts w:ascii="Times New Roman" w:hAnsi="Times New Roman" w:eastAsiaTheme="minorEastAsia"/>
          <w:b/>
          <w:color w:val="auto"/>
          <w:sz w:val="28"/>
          <w:szCs w:val="32"/>
        </w:rPr>
        <w:t>（七）投诉管理</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Theme="minorEastAsia"/>
          <w:color w:val="auto"/>
          <w:sz w:val="28"/>
          <w:szCs w:val="28"/>
          <w:lang w:val="en-US" w:eastAsia="zh-CN"/>
        </w:rPr>
      </w:pPr>
      <w:r>
        <w:rPr>
          <w:rFonts w:hint="eastAsia" w:ascii="Times New Roman" w:hAnsi="Times New Roman" w:eastAsiaTheme="minorEastAsia"/>
          <w:color w:val="auto"/>
          <w:sz w:val="28"/>
          <w:szCs w:val="28"/>
          <w:lang w:eastAsia="zh-CN"/>
        </w:rPr>
        <w:t>2021年</w:t>
      </w:r>
      <w:r>
        <w:rPr>
          <w:rFonts w:hint="eastAsia" w:ascii="Times New Roman" w:hAnsi="Times New Roman" w:eastAsiaTheme="minorEastAsia"/>
          <w:color w:val="auto"/>
          <w:sz w:val="28"/>
          <w:szCs w:val="28"/>
        </w:rPr>
        <w:t>度，</w:t>
      </w:r>
      <w:r>
        <w:rPr>
          <w:rFonts w:hint="eastAsia" w:ascii="Times New Roman" w:hAnsi="Times New Roman" w:eastAsiaTheme="minorEastAsia"/>
          <w:color w:val="auto"/>
          <w:sz w:val="28"/>
          <w:szCs w:val="28"/>
          <w:lang w:eastAsia="zh-CN"/>
        </w:rPr>
        <w:t>沅陵产业开发区</w:t>
      </w:r>
      <w:r>
        <w:rPr>
          <w:rFonts w:hint="eastAsia" w:ascii="Times New Roman" w:hAnsi="Times New Roman" w:eastAsiaTheme="minorEastAsia"/>
          <w:color w:val="auto"/>
          <w:sz w:val="28"/>
          <w:szCs w:val="28"/>
          <w:lang w:val="en-US" w:eastAsia="zh-CN"/>
        </w:rPr>
        <w:t>未收到和</w:t>
      </w:r>
      <w:r>
        <w:rPr>
          <w:rFonts w:hint="eastAsia" w:ascii="Times New Roman" w:hAnsi="Times New Roman" w:eastAsiaTheme="minorEastAsia"/>
          <w:color w:val="auto"/>
          <w:sz w:val="28"/>
          <w:szCs w:val="28"/>
        </w:rPr>
        <w:t>受理各类（含各级督查、各级环保投诉等）投诉</w:t>
      </w:r>
      <w:r>
        <w:rPr>
          <w:rFonts w:hint="eastAsia" w:ascii="Times New Roman" w:hAnsi="Times New Roman" w:eastAsiaTheme="minorEastAsia"/>
          <w:color w:val="auto"/>
          <w:sz w:val="28"/>
          <w:szCs w:val="28"/>
          <w:lang w:val="en-US" w:eastAsia="zh-CN"/>
        </w:rPr>
        <w:t>问题</w:t>
      </w:r>
      <w:r>
        <w:rPr>
          <w:rFonts w:hint="eastAsia" w:ascii="Times New Roman" w:hAnsi="Times New Roman" w:eastAsiaTheme="minorEastAsia"/>
          <w:color w:val="auto"/>
          <w:sz w:val="28"/>
          <w:szCs w:val="28"/>
        </w:rPr>
        <w:t>。</w:t>
      </w:r>
      <w:r>
        <w:rPr>
          <w:rFonts w:hint="eastAsia" w:ascii="Times New Roman" w:hAnsi="Times New Roman" w:eastAsiaTheme="minorEastAsia"/>
          <w:color w:val="auto"/>
          <w:sz w:val="28"/>
          <w:szCs w:val="28"/>
          <w:lang w:val="en-US" w:eastAsia="zh-CN"/>
        </w:rPr>
        <w:t>共收到</w:t>
      </w:r>
      <w:r>
        <w:rPr>
          <w:rFonts w:hint="eastAsia" w:ascii="Times New Roman" w:hAnsi="Times New Roman" w:eastAsiaTheme="minorEastAsia"/>
          <w:color w:val="auto"/>
          <w:sz w:val="28"/>
          <w:szCs w:val="28"/>
        </w:rPr>
        <w:t>环保督察交办问题</w:t>
      </w:r>
      <w:r>
        <w:rPr>
          <w:rFonts w:hint="eastAsia" w:ascii="Times New Roman" w:hAnsi="Times New Roman" w:eastAsiaTheme="minorEastAsia"/>
          <w:color w:val="auto"/>
          <w:sz w:val="28"/>
          <w:szCs w:val="28"/>
          <w:lang w:val="en-US" w:eastAsia="zh-CN"/>
        </w:rPr>
        <w:t>1</w:t>
      </w:r>
      <w:r>
        <w:rPr>
          <w:rFonts w:hint="eastAsia" w:ascii="Times New Roman" w:hAnsi="Times New Roman" w:eastAsiaTheme="minorEastAsia"/>
          <w:color w:val="auto"/>
          <w:sz w:val="28"/>
          <w:szCs w:val="28"/>
        </w:rPr>
        <w:t>件，已完成整改</w:t>
      </w:r>
      <w:r>
        <w:rPr>
          <w:rFonts w:hint="eastAsia" w:ascii="Times New Roman" w:hAnsi="Times New Roman" w:eastAsiaTheme="minorEastAsia"/>
          <w:color w:val="auto"/>
          <w:sz w:val="28"/>
          <w:szCs w:val="28"/>
          <w:lang w:val="en-US" w:eastAsia="zh-CN"/>
        </w:rPr>
        <w:t>1</w:t>
      </w:r>
      <w:r>
        <w:rPr>
          <w:rFonts w:hint="eastAsia" w:ascii="Times New Roman" w:hAnsi="Times New Roman" w:eastAsiaTheme="minorEastAsia"/>
          <w:color w:val="auto"/>
          <w:sz w:val="28"/>
          <w:szCs w:val="28"/>
        </w:rPr>
        <w:t>件，完成率</w:t>
      </w:r>
      <w:r>
        <w:rPr>
          <w:rFonts w:hint="eastAsia" w:ascii="Times New Roman" w:hAnsi="Times New Roman" w:eastAsiaTheme="minorEastAsia"/>
          <w:color w:val="auto"/>
          <w:sz w:val="28"/>
          <w:szCs w:val="28"/>
          <w:lang w:val="en-US" w:eastAsia="zh-CN"/>
        </w:rPr>
        <w:t>100</w:t>
      </w:r>
      <w:r>
        <w:rPr>
          <w:rFonts w:hint="eastAsia" w:ascii="Times New Roman" w:hAnsi="Times New Roman" w:eastAsiaTheme="minorEastAsia"/>
          <w:color w:val="auto"/>
          <w:sz w:val="28"/>
          <w:szCs w:val="28"/>
        </w:rPr>
        <w:t>%。</w:t>
      </w:r>
      <w:r>
        <w:rPr>
          <w:rFonts w:hint="eastAsia" w:ascii="Times New Roman" w:hAnsi="Times New Roman" w:eastAsiaTheme="minorEastAsia"/>
          <w:color w:val="auto"/>
          <w:sz w:val="28"/>
          <w:szCs w:val="28"/>
          <w:lang w:val="en-US" w:eastAsia="zh-CN"/>
        </w:rPr>
        <w:t>具体情况如下：</w:t>
      </w:r>
    </w:p>
    <w:p>
      <w:pPr>
        <w:pStyle w:val="7"/>
        <w:keepNext w:val="0"/>
        <w:keepLines w:val="0"/>
        <w:pageBreakBefore w:val="0"/>
        <w:widowControl w:val="0"/>
        <w:kinsoku/>
        <w:wordWrap/>
        <w:overflowPunct/>
        <w:topLinePunct w:val="0"/>
        <w:autoSpaceDE/>
        <w:autoSpaceDN/>
        <w:bidi w:val="0"/>
        <w:adjustRightInd/>
        <w:spacing w:after="0" w:line="600" w:lineRule="exact"/>
        <w:ind w:firstLine="560"/>
        <w:textAlignment w:val="auto"/>
        <w:rPr>
          <w:rFonts w:hint="eastAsia" w:ascii="Times New Roman" w:hAnsi="Times New Roman" w:cs="黑体" w:eastAsiaTheme="minorEastAsia"/>
          <w:color w:val="auto"/>
          <w:kern w:val="2"/>
          <w:sz w:val="28"/>
          <w:szCs w:val="28"/>
          <w:lang w:val="en-US" w:eastAsia="zh-CN" w:bidi="ar-SA"/>
        </w:rPr>
      </w:pPr>
      <w:r>
        <w:rPr>
          <w:rFonts w:hint="eastAsia" w:ascii="Times New Roman" w:hAnsi="Times New Roman" w:cs="黑体" w:eastAsiaTheme="minorEastAsia"/>
          <w:color w:val="auto"/>
          <w:kern w:val="2"/>
          <w:sz w:val="28"/>
          <w:szCs w:val="28"/>
          <w:lang w:val="en-US" w:eastAsia="zh-CN" w:bidi="ar-SA"/>
        </w:rPr>
        <w:t>2020年10月23日至11月6日，省环保督察“回头看”期间，督察组指出沅陵产业开发区存在污水处理厂存在“吃不饱”，污水实际处理量不足设计处理能力的30%，设施正常运行难度大的问题。收到该督察反馈问题，县委、县政府及园区管委会高度重视，结合园区实际的发展现状，立即部署相关部门专题会商制定可行的整改方案，确定了一是加大园区招商引资力度，二是同时开展园区范围内管网漏损情况开展专项排查，确保园区内的污水应收尽收的整改思路，并将相应的整改方案呈报至县委、县政府。</w:t>
      </w:r>
    </w:p>
    <w:p>
      <w:pPr>
        <w:ind w:firstLine="560"/>
        <w:rPr>
          <w:rFonts w:hint="default" w:ascii="Times New Roman" w:hAnsi="Times New Roman" w:cs="黑体" w:eastAsiaTheme="minorEastAsia"/>
          <w:color w:val="auto"/>
          <w:kern w:val="2"/>
          <w:sz w:val="28"/>
          <w:szCs w:val="28"/>
          <w:lang w:val="en-US" w:eastAsia="zh-CN" w:bidi="ar-SA"/>
        </w:rPr>
      </w:pPr>
      <w:r>
        <w:rPr>
          <w:rFonts w:hint="eastAsia" w:ascii="Times New Roman" w:hAnsi="Times New Roman" w:cs="黑体" w:eastAsiaTheme="minorEastAsia"/>
          <w:color w:val="auto"/>
          <w:kern w:val="2"/>
          <w:sz w:val="28"/>
          <w:szCs w:val="28"/>
          <w:lang w:val="en-US" w:eastAsia="zh-CN" w:bidi="ar-SA"/>
        </w:rPr>
        <w:t>2021年，园区委托专业的第三方公司园区雨污管道错位、脱节、破损、混流、淤积、堵塞等情况进行全面检测；对混流处进行彻底雨污分流，对错位、脱节、破损处采用树脂注胶或套管密封；对破损严重处换管处理。通过对园区管网的疏通和修复后，园区污水处理厂日处理水量从整改前的150m</w:t>
      </w:r>
      <w:r>
        <w:rPr>
          <w:rFonts w:hint="eastAsia" w:ascii="Times New Roman" w:hAnsi="Times New Roman" w:cs="黑体" w:eastAsiaTheme="minorEastAsia"/>
          <w:color w:val="auto"/>
          <w:kern w:val="2"/>
          <w:sz w:val="28"/>
          <w:szCs w:val="28"/>
          <w:vertAlign w:val="superscript"/>
          <w:lang w:val="en-US" w:eastAsia="zh-CN" w:bidi="ar-SA"/>
        </w:rPr>
        <w:t>3</w:t>
      </w:r>
      <w:r>
        <w:rPr>
          <w:rFonts w:hint="eastAsia" w:ascii="Times New Roman" w:hAnsi="Times New Roman" w:cs="黑体" w:eastAsiaTheme="minorEastAsia"/>
          <w:color w:val="auto"/>
          <w:kern w:val="2"/>
          <w:sz w:val="28"/>
          <w:szCs w:val="28"/>
          <w:lang w:val="en-US" w:eastAsia="zh-CN" w:bidi="ar-SA"/>
        </w:rPr>
        <w:t>/d提升至了550m</w:t>
      </w:r>
      <w:r>
        <w:rPr>
          <w:rFonts w:hint="eastAsia" w:ascii="Times New Roman" w:hAnsi="Times New Roman" w:cs="黑体" w:eastAsiaTheme="minorEastAsia"/>
          <w:color w:val="auto"/>
          <w:kern w:val="2"/>
          <w:sz w:val="28"/>
          <w:szCs w:val="28"/>
          <w:vertAlign w:val="superscript"/>
          <w:lang w:val="en-US" w:eastAsia="zh-CN" w:bidi="ar-SA"/>
        </w:rPr>
        <w:t>3</w:t>
      </w:r>
      <w:r>
        <w:rPr>
          <w:rFonts w:hint="eastAsia" w:ascii="Times New Roman" w:hAnsi="Times New Roman" w:cs="黑体" w:eastAsiaTheme="minorEastAsia"/>
          <w:color w:val="auto"/>
          <w:kern w:val="2"/>
          <w:sz w:val="28"/>
          <w:szCs w:val="28"/>
          <w:lang w:val="en-US" w:eastAsia="zh-CN" w:bidi="ar-SA"/>
        </w:rPr>
        <w:t>/d。已基本按暨定的整改方案要求完成了相关整改工作目标，并向市整改办上报了整改销号资料，且通过了市整改办组织的现场核查验收。</w:t>
      </w:r>
    </w:p>
    <w:p>
      <w:pPr>
        <w:pStyle w:val="17"/>
        <w:snapToGrid w:val="0"/>
        <w:spacing w:after="0" w:line="360" w:lineRule="auto"/>
        <w:ind w:left="0" w:leftChars="0" w:firstLine="562"/>
        <w:outlineLvl w:val="1"/>
        <w:rPr>
          <w:rFonts w:ascii="Times New Roman" w:hAnsi="Times New Roman" w:eastAsiaTheme="minorEastAsia"/>
          <w:b/>
          <w:color w:val="auto"/>
          <w:sz w:val="28"/>
          <w:szCs w:val="32"/>
        </w:rPr>
      </w:pPr>
      <w:bookmarkStart w:id="19" w:name="_Toc68103684"/>
      <w:r>
        <w:rPr>
          <w:rFonts w:ascii="Times New Roman" w:hAnsi="Times New Roman" w:eastAsiaTheme="minorEastAsia"/>
          <w:b/>
          <w:color w:val="auto"/>
          <w:sz w:val="28"/>
          <w:szCs w:val="32"/>
        </w:rPr>
        <w:t>（八）园区信用评价</w:t>
      </w:r>
      <w:bookmarkEnd w:id="19"/>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根据湖南省生态环境厅2020年12月发布的《湖南省产业园区环保信用评价管理办法（试行）》，产业园区环保信用等级根据环保信用分值高低分为环保诚信园区、环保合格园区、环保风险园区三个等级。</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环保诚信园区：环保信用分值10—12分；</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环保合格园区：环保信用分值6—9分；</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环保风险园区：环保信用分值5分及以下。</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color w:val="auto"/>
          <w:kern w:val="2"/>
          <w:sz w:val="28"/>
          <w:szCs w:val="28"/>
          <w:lang w:val="en-US" w:eastAsia="zh-CN" w:bidi="ar-SA"/>
        </w:rPr>
      </w:pPr>
      <w:bookmarkStart w:id="20" w:name="_Hlk67148531"/>
      <w:r>
        <w:rPr>
          <w:rFonts w:hint="eastAsia" w:ascii="Times New Roman" w:hAnsi="Times New Roman" w:cs="Times New Roman" w:eastAsiaTheme="minorEastAsia"/>
          <w:color w:val="auto"/>
          <w:kern w:val="2"/>
          <w:sz w:val="28"/>
          <w:szCs w:val="28"/>
          <w:lang w:val="en-US" w:eastAsia="zh-CN" w:bidi="ar-SA"/>
        </w:rPr>
        <w:t>根据《湖南省生态环境厅关于发布湖南省2020年度省级及以上产业园区环保信用评价结果的通知》（湘环发[2021]27号）文件，园区被评为环保合格园区。目前，园区正按照《湖南省生态环境厅关于开展湖南省2021年度省级及以上产业园区环保信用评价工作的通知》（湘环发[2022]5号）文件要求，并对照最新发布的湖南省产业园区环保信用评价评分细则开展2021年度园区环保信用评价自评工作</w:t>
      </w:r>
      <w:bookmarkEnd w:id="20"/>
      <w:r>
        <w:rPr>
          <w:rFonts w:hint="eastAsia" w:ascii="Times New Roman" w:hAnsi="Times New Roman" w:cs="Times New Roman" w:eastAsiaTheme="minorEastAsia"/>
          <w:color w:val="auto"/>
          <w:kern w:val="2"/>
          <w:sz w:val="28"/>
          <w:szCs w:val="28"/>
          <w:lang w:val="en-US" w:eastAsia="zh-CN" w:bidi="ar-SA"/>
        </w:rPr>
        <w:t>，具体评价结果如下。</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eastAsiaTheme="minorEastAsia"/>
          <w:color w:val="auto"/>
          <w:kern w:val="2"/>
          <w:sz w:val="28"/>
          <w:szCs w:val="28"/>
          <w:lang w:val="en-US" w:eastAsia="zh-CN" w:bidi="ar-SA"/>
        </w:rPr>
      </w:pPr>
    </w:p>
    <w:p>
      <w:pPr>
        <w:pStyle w:val="4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color w:val="auto"/>
          <w:kern w:val="2"/>
          <w:sz w:val="28"/>
          <w:szCs w:val="28"/>
          <w:lang w:val="en-US" w:eastAsia="zh-CN" w:bidi="ar-SA"/>
        </w:rPr>
      </w:pPr>
    </w:p>
    <w:p>
      <w:pPr>
        <w:pStyle w:val="4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color w:val="auto"/>
          <w:kern w:val="2"/>
          <w:sz w:val="28"/>
          <w:szCs w:val="28"/>
          <w:lang w:val="en-US" w:eastAsia="zh-CN" w:bidi="ar-SA"/>
        </w:rPr>
        <w:sectPr>
          <w:pgSz w:w="11906" w:h="16838"/>
          <w:pgMar w:top="1440" w:right="1800" w:bottom="1440" w:left="1800" w:header="851" w:footer="992" w:gutter="0"/>
          <w:pgNumType w:start="1"/>
          <w:cols w:space="720" w:num="1"/>
          <w:docGrid w:type="lines" w:linePitch="312" w:charSpace="0"/>
        </w:sectPr>
      </w:pPr>
    </w:p>
    <w:p>
      <w:pPr>
        <w:pStyle w:val="50"/>
        <w:keepNext/>
        <w:keepLines/>
        <w:pageBreakBefore w:val="0"/>
        <w:widowControl w:val="0"/>
        <w:numPr>
          <w:ilvl w:val="4"/>
          <w:numId w:val="0"/>
        </w:numPr>
        <w:kinsoku/>
        <w:wordWrap w:val="0"/>
        <w:overflowPunct/>
        <w:topLinePunct w:val="0"/>
        <w:autoSpaceDE/>
        <w:autoSpaceDN/>
        <w:bidi w:val="0"/>
        <w:adjustRightInd/>
        <w:snapToGrid/>
        <w:spacing w:before="156" w:after="0" w:afterLines="0"/>
        <w:ind w:leftChars="0"/>
        <w:jc w:val="center"/>
        <w:textAlignment w:val="auto"/>
        <w:rPr>
          <w:color w:val="auto"/>
        </w:rPr>
      </w:pPr>
      <w:r>
        <w:rPr>
          <w:rFonts w:hint="eastAsia"/>
          <w:color w:val="auto"/>
          <w:lang w:val="en-US" w:eastAsia="zh-CN"/>
        </w:rPr>
        <w:t xml:space="preserve">表2.8-1  </w:t>
      </w:r>
      <w:r>
        <w:rPr>
          <w:rFonts w:hint="eastAsia"/>
          <w:color w:val="auto"/>
        </w:rPr>
        <w:t>园区环保信用自评情况一览表</w:t>
      </w:r>
    </w:p>
    <w:tbl>
      <w:tblPr>
        <w:tblStyle w:val="18"/>
        <w:tblW w:w="14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851"/>
        <w:gridCol w:w="1275"/>
        <w:gridCol w:w="4923"/>
        <w:gridCol w:w="889"/>
        <w:gridCol w:w="4923"/>
        <w:gridCol w:w="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b/>
                <w:color w:val="auto"/>
              </w:rPr>
            </w:pPr>
            <w:r>
              <w:rPr>
                <w:rFonts w:hint="eastAsia"/>
                <w:b/>
                <w:color w:val="auto"/>
              </w:rPr>
              <w:t>序号</w:t>
            </w:r>
          </w:p>
        </w:tc>
        <w:tc>
          <w:tcPr>
            <w:tcW w:w="851" w:type="dxa"/>
            <w:shd w:val="clear" w:color="auto" w:fill="auto"/>
            <w:noWrap w:val="0"/>
            <w:vAlign w:val="center"/>
          </w:tcPr>
          <w:p>
            <w:pPr>
              <w:pStyle w:val="40"/>
              <w:rPr>
                <w:b/>
                <w:color w:val="auto"/>
              </w:rPr>
            </w:pPr>
            <w:r>
              <w:rPr>
                <w:rFonts w:hint="eastAsia"/>
                <w:b/>
                <w:color w:val="auto"/>
              </w:rPr>
              <w:t>一级评价指标</w:t>
            </w:r>
          </w:p>
        </w:tc>
        <w:tc>
          <w:tcPr>
            <w:tcW w:w="1275" w:type="dxa"/>
            <w:shd w:val="clear" w:color="auto" w:fill="auto"/>
            <w:noWrap w:val="0"/>
            <w:vAlign w:val="center"/>
          </w:tcPr>
          <w:p>
            <w:pPr>
              <w:pStyle w:val="40"/>
              <w:rPr>
                <w:b/>
                <w:color w:val="auto"/>
              </w:rPr>
            </w:pPr>
            <w:r>
              <w:rPr>
                <w:rFonts w:hint="eastAsia"/>
                <w:b/>
                <w:color w:val="auto"/>
              </w:rPr>
              <w:t>二级评价</w:t>
            </w:r>
          </w:p>
          <w:p>
            <w:pPr>
              <w:pStyle w:val="40"/>
              <w:rPr>
                <w:b/>
                <w:color w:val="auto"/>
              </w:rPr>
            </w:pPr>
            <w:r>
              <w:rPr>
                <w:rFonts w:hint="eastAsia"/>
                <w:b/>
                <w:color w:val="auto"/>
              </w:rPr>
              <w:t>指标</w:t>
            </w:r>
          </w:p>
        </w:tc>
        <w:tc>
          <w:tcPr>
            <w:tcW w:w="4923" w:type="dxa"/>
            <w:shd w:val="clear" w:color="auto" w:fill="auto"/>
            <w:noWrap w:val="0"/>
            <w:vAlign w:val="center"/>
          </w:tcPr>
          <w:p>
            <w:pPr>
              <w:pStyle w:val="40"/>
              <w:rPr>
                <w:b/>
                <w:color w:val="auto"/>
              </w:rPr>
            </w:pPr>
            <w:r>
              <w:rPr>
                <w:rFonts w:hint="eastAsia"/>
                <w:b/>
                <w:color w:val="auto"/>
              </w:rPr>
              <w:t>评价标准</w:t>
            </w:r>
          </w:p>
        </w:tc>
        <w:tc>
          <w:tcPr>
            <w:tcW w:w="889" w:type="dxa"/>
            <w:shd w:val="clear" w:color="auto" w:fill="auto"/>
            <w:noWrap w:val="0"/>
            <w:vAlign w:val="center"/>
          </w:tcPr>
          <w:p>
            <w:pPr>
              <w:pStyle w:val="40"/>
              <w:rPr>
                <w:b/>
                <w:color w:val="auto"/>
              </w:rPr>
            </w:pPr>
            <w:r>
              <w:rPr>
                <w:b/>
                <w:color w:val="auto"/>
              </w:rPr>
              <w:t>分值（分）</w:t>
            </w:r>
          </w:p>
        </w:tc>
        <w:tc>
          <w:tcPr>
            <w:tcW w:w="4923" w:type="dxa"/>
            <w:shd w:val="clear" w:color="auto" w:fill="auto"/>
            <w:noWrap w:val="0"/>
            <w:vAlign w:val="center"/>
          </w:tcPr>
          <w:p>
            <w:pPr>
              <w:pStyle w:val="40"/>
              <w:rPr>
                <w:b/>
                <w:color w:val="auto"/>
              </w:rPr>
            </w:pPr>
            <w:r>
              <w:rPr>
                <w:b/>
                <w:color w:val="auto"/>
              </w:rPr>
              <w:t>园区情况</w:t>
            </w:r>
          </w:p>
        </w:tc>
        <w:tc>
          <w:tcPr>
            <w:tcW w:w="889" w:type="dxa"/>
            <w:shd w:val="clear" w:color="auto" w:fill="auto"/>
            <w:noWrap w:val="0"/>
            <w:vAlign w:val="center"/>
          </w:tcPr>
          <w:p>
            <w:pPr>
              <w:pStyle w:val="40"/>
              <w:rPr>
                <w:b/>
                <w:color w:val="auto"/>
              </w:rPr>
            </w:pPr>
            <w:r>
              <w:rPr>
                <w:rFonts w:hint="eastAsia"/>
                <w:b/>
                <w:color w:val="auto"/>
              </w:rPr>
              <w:t>分值</w:t>
            </w:r>
          </w:p>
          <w:p>
            <w:pPr>
              <w:pStyle w:val="40"/>
              <w:rPr>
                <w:b/>
                <w:color w:val="auto"/>
              </w:rPr>
            </w:pPr>
            <w:r>
              <w:rPr>
                <w:rFonts w:hint="eastAsia"/>
                <w:b/>
                <w:color w:val="auto"/>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p>
        </w:tc>
        <w:tc>
          <w:tcPr>
            <w:tcW w:w="851" w:type="dxa"/>
            <w:vMerge w:val="restart"/>
            <w:shd w:val="clear" w:color="auto" w:fill="auto"/>
            <w:noWrap w:val="0"/>
            <w:vAlign w:val="center"/>
          </w:tcPr>
          <w:p>
            <w:pPr>
              <w:pStyle w:val="40"/>
              <w:rPr>
                <w:color w:val="auto"/>
              </w:rPr>
            </w:pPr>
            <w:r>
              <w:rPr>
                <w:rFonts w:hint="eastAsia"/>
                <w:color w:val="auto"/>
              </w:rPr>
              <w:t>环境准入管理</w:t>
            </w:r>
          </w:p>
        </w:tc>
        <w:tc>
          <w:tcPr>
            <w:tcW w:w="1275" w:type="dxa"/>
            <w:vMerge w:val="restart"/>
            <w:shd w:val="clear" w:color="auto" w:fill="auto"/>
            <w:noWrap w:val="0"/>
            <w:vAlign w:val="center"/>
          </w:tcPr>
          <w:p>
            <w:pPr>
              <w:pStyle w:val="40"/>
              <w:rPr>
                <w:color w:val="auto"/>
              </w:rPr>
            </w:pPr>
            <w:r>
              <w:rPr>
                <w:rFonts w:hint="eastAsia"/>
                <w:color w:val="auto"/>
              </w:rPr>
              <w:t>规划环境影响评价</w:t>
            </w:r>
          </w:p>
        </w:tc>
        <w:tc>
          <w:tcPr>
            <w:tcW w:w="4923" w:type="dxa"/>
            <w:shd w:val="clear" w:color="auto" w:fill="auto"/>
            <w:noWrap w:val="0"/>
            <w:vAlign w:val="center"/>
          </w:tcPr>
          <w:p>
            <w:pPr>
              <w:pStyle w:val="40"/>
              <w:rPr>
                <w:color w:val="auto"/>
              </w:rPr>
            </w:pPr>
            <w:r>
              <w:rPr>
                <w:rFonts w:hint="eastAsia"/>
                <w:color w:val="auto"/>
              </w:rPr>
              <w:t>产业园区有重大调整和修订未重新开展规划环评</w:t>
            </w:r>
          </w:p>
        </w:tc>
        <w:tc>
          <w:tcPr>
            <w:tcW w:w="889" w:type="dxa"/>
            <w:shd w:val="clear" w:color="auto" w:fill="auto"/>
            <w:noWrap w:val="0"/>
            <w:vAlign w:val="center"/>
          </w:tcPr>
          <w:p>
            <w:pPr>
              <w:pStyle w:val="40"/>
              <w:rPr>
                <w:color w:val="auto"/>
              </w:rPr>
            </w:pPr>
            <w:r>
              <w:rPr>
                <w:rFonts w:hint="eastAsia"/>
                <w:color w:val="auto"/>
              </w:rPr>
              <w:t>-1</w:t>
            </w:r>
          </w:p>
        </w:tc>
        <w:tc>
          <w:tcPr>
            <w:tcW w:w="4923" w:type="dxa"/>
            <w:vMerge w:val="restart"/>
            <w:shd w:val="clear" w:color="auto" w:fill="auto"/>
            <w:noWrap w:val="0"/>
            <w:vAlign w:val="center"/>
          </w:tcPr>
          <w:p>
            <w:pPr>
              <w:widowControl/>
              <w:jc w:val="center"/>
              <w:textAlignment w:val="center"/>
              <w:rPr>
                <w:rFonts w:hint="default" w:eastAsiaTheme="minorEastAsia"/>
                <w:color w:val="auto"/>
                <w:lang w:val="en-US" w:eastAsia="zh-CN"/>
              </w:rPr>
            </w:pPr>
            <w:r>
              <w:rPr>
                <w:rFonts w:ascii="Times New Roman" w:hAnsi="Times New Roman" w:cs="Times New Roman" w:eastAsiaTheme="minorEastAsia"/>
                <w:color w:val="auto"/>
                <w:sz w:val="21"/>
                <w:szCs w:val="21"/>
              </w:rPr>
              <w:t>园区</w:t>
            </w:r>
            <w:r>
              <w:rPr>
                <w:rFonts w:hint="eastAsia" w:ascii="Times New Roman" w:hAnsi="Times New Roman" w:cs="Times New Roman" w:eastAsiaTheme="minorEastAsia"/>
                <w:color w:val="auto"/>
                <w:sz w:val="21"/>
                <w:szCs w:val="21"/>
                <w:lang w:val="en-US" w:eastAsia="zh-CN"/>
              </w:rPr>
              <w:t>正在有序开展调区扩区环评工作</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且组织开展了园区环境影响</w:t>
            </w:r>
            <w:r>
              <w:rPr>
                <w:rFonts w:ascii="Times New Roman" w:hAnsi="Times New Roman" w:cs="Times New Roman" w:eastAsiaTheme="minorEastAsia"/>
                <w:color w:val="auto"/>
                <w:sz w:val="21"/>
                <w:szCs w:val="21"/>
              </w:rPr>
              <w:t>跟踪评价</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并通过了省生态环境厅组织的专家评审，目前正等待省生态环境厅出具园区跟踪评价审查意见</w:t>
            </w:r>
          </w:p>
        </w:tc>
        <w:tc>
          <w:tcPr>
            <w:tcW w:w="889" w:type="dxa"/>
            <w:shd w:val="clear" w:color="auto" w:fill="auto"/>
            <w:noWrap w:val="0"/>
            <w:vAlign w:val="center"/>
          </w:tcPr>
          <w:p>
            <w:pPr>
              <w:pStyle w:val="40"/>
              <w:rPr>
                <w:rFonts w:hint="eastAsia" w:eastAsia="宋体"/>
                <w:color w:val="auto"/>
                <w:lang w:val="en-US" w:eastAsia="zh-CN"/>
              </w:rPr>
            </w:pPr>
            <w:r>
              <w:rPr>
                <w:rFonts w:hint="eastAsia"/>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2</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产业园区规划实施五年以上未组织开展环境影响跟踪评价</w:t>
            </w:r>
          </w:p>
        </w:tc>
        <w:tc>
          <w:tcPr>
            <w:tcW w:w="889" w:type="dxa"/>
            <w:shd w:val="clear" w:color="auto" w:fill="auto"/>
            <w:noWrap w:val="0"/>
            <w:vAlign w:val="center"/>
          </w:tcPr>
          <w:p>
            <w:pPr>
              <w:pStyle w:val="40"/>
              <w:rPr>
                <w:color w:val="auto"/>
              </w:rPr>
            </w:pPr>
            <w:r>
              <w:rPr>
                <w:rFonts w:hint="eastAsia"/>
                <w:color w:val="auto"/>
              </w:rPr>
              <w:t>-2</w:t>
            </w:r>
          </w:p>
        </w:tc>
        <w:tc>
          <w:tcPr>
            <w:tcW w:w="4923" w:type="dxa"/>
            <w:vMerge w:val="continue"/>
            <w:shd w:val="clear" w:color="auto" w:fill="auto"/>
            <w:noWrap w:val="0"/>
            <w:vAlign w:val="center"/>
          </w:tcPr>
          <w:p>
            <w:pPr>
              <w:widowControl/>
              <w:jc w:val="center"/>
              <w:textAlignment w:val="center"/>
              <w:rPr>
                <w:rFonts w:hint="default" w:ascii="Times New Roman" w:hAnsi="Times New Roman" w:cs="Times New Roman" w:eastAsiaTheme="minorEastAsia"/>
                <w:color w:val="auto"/>
                <w:kern w:val="2"/>
                <w:sz w:val="21"/>
                <w:szCs w:val="21"/>
                <w:lang w:val="en-US" w:eastAsia="zh-CN" w:bidi="ar-SA"/>
              </w:rPr>
            </w:pPr>
          </w:p>
        </w:tc>
        <w:tc>
          <w:tcPr>
            <w:tcW w:w="889" w:type="dxa"/>
            <w:shd w:val="clear" w:color="auto" w:fill="auto"/>
            <w:noWrap w:val="0"/>
            <w:vAlign w:val="center"/>
          </w:tcPr>
          <w:p>
            <w:pPr>
              <w:pStyle w:val="40"/>
              <w:rPr>
                <w:rFonts w:hint="eastAsia" w:eastAsia="宋体"/>
                <w:color w:val="auto"/>
                <w:lang w:eastAsia="zh-CN"/>
              </w:rPr>
            </w:pPr>
            <w:r>
              <w:rPr>
                <w:rFonts w:hint="eastAsia"/>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3</w:t>
            </w:r>
          </w:p>
        </w:tc>
        <w:tc>
          <w:tcPr>
            <w:tcW w:w="851" w:type="dxa"/>
            <w:vMerge w:val="continue"/>
            <w:shd w:val="clear" w:color="auto" w:fill="auto"/>
            <w:noWrap w:val="0"/>
            <w:vAlign w:val="center"/>
          </w:tcPr>
          <w:p>
            <w:pPr>
              <w:pStyle w:val="40"/>
              <w:rPr>
                <w:color w:val="auto"/>
              </w:rPr>
            </w:pPr>
          </w:p>
        </w:tc>
        <w:tc>
          <w:tcPr>
            <w:tcW w:w="1275" w:type="dxa"/>
            <w:vMerge w:val="restart"/>
            <w:shd w:val="clear" w:color="auto" w:fill="auto"/>
            <w:noWrap w:val="0"/>
            <w:vAlign w:val="center"/>
          </w:tcPr>
          <w:p>
            <w:pPr>
              <w:pStyle w:val="40"/>
              <w:rPr>
                <w:color w:val="auto"/>
              </w:rPr>
            </w:pPr>
            <w:r>
              <w:rPr>
                <w:rFonts w:hint="eastAsia"/>
                <w:color w:val="auto"/>
              </w:rPr>
              <w:t>建设项目环评</w:t>
            </w:r>
          </w:p>
        </w:tc>
        <w:tc>
          <w:tcPr>
            <w:tcW w:w="4923" w:type="dxa"/>
            <w:shd w:val="clear" w:color="auto" w:fill="auto"/>
            <w:noWrap w:val="0"/>
            <w:vAlign w:val="center"/>
          </w:tcPr>
          <w:p>
            <w:pPr>
              <w:pStyle w:val="40"/>
              <w:rPr>
                <w:color w:val="auto"/>
              </w:rPr>
            </w:pPr>
            <w:r>
              <w:rPr>
                <w:rFonts w:hint="eastAsia"/>
                <w:color w:val="auto"/>
              </w:rPr>
              <w:t>产业园区内有建设项目未依法开展环境影响评价</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default"/>
                <w:color w:val="auto"/>
                <w:lang w:val="en-US" w:eastAsia="zh-CN"/>
              </w:rPr>
            </w:pPr>
            <w:r>
              <w:rPr>
                <w:rFonts w:hint="default"/>
                <w:color w:val="auto"/>
                <w:lang w:val="en-US" w:eastAsia="zh-CN"/>
              </w:rPr>
              <w:t>园区已入园企业均按照国家有关规定，开展了环境影响评价。</w:t>
            </w:r>
          </w:p>
        </w:tc>
        <w:tc>
          <w:tcPr>
            <w:tcW w:w="889" w:type="dxa"/>
            <w:shd w:val="clear" w:color="auto" w:fill="auto"/>
            <w:noWrap w:val="0"/>
            <w:vAlign w:val="center"/>
          </w:tcPr>
          <w:p>
            <w:pPr>
              <w:pStyle w:val="40"/>
              <w:rPr>
                <w:rFonts w:hint="eastAsia" w:eastAsia="宋体"/>
                <w:color w:val="auto"/>
                <w:lang w:eastAsia="zh-CN"/>
              </w:rPr>
            </w:pPr>
            <w:r>
              <w:rPr>
                <w:rFonts w:hint="eastAsia"/>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4</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产业园区内有被评为黑名单的企事业单位</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eastAsia"/>
                <w:color w:val="auto"/>
                <w:lang w:val="en-US" w:eastAsia="zh-CN"/>
              </w:rPr>
            </w:pPr>
            <w:r>
              <w:rPr>
                <w:rFonts w:hint="eastAsia"/>
                <w:color w:val="auto"/>
                <w:lang w:val="en-US" w:eastAsia="zh-CN"/>
              </w:rPr>
              <w:t>园区内无企业列入黑名单</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5</w:t>
            </w:r>
          </w:p>
        </w:tc>
        <w:tc>
          <w:tcPr>
            <w:tcW w:w="851" w:type="dxa"/>
            <w:vMerge w:val="restart"/>
            <w:shd w:val="clear" w:color="auto" w:fill="auto"/>
            <w:noWrap w:val="0"/>
            <w:vAlign w:val="center"/>
          </w:tcPr>
          <w:p>
            <w:pPr>
              <w:pStyle w:val="40"/>
              <w:rPr>
                <w:color w:val="auto"/>
              </w:rPr>
            </w:pPr>
            <w:r>
              <w:rPr>
                <w:rFonts w:hint="eastAsia"/>
                <w:color w:val="auto"/>
              </w:rPr>
              <w:t>环境基础设施</w:t>
            </w:r>
          </w:p>
        </w:tc>
        <w:tc>
          <w:tcPr>
            <w:tcW w:w="1275" w:type="dxa"/>
            <w:vMerge w:val="restart"/>
            <w:shd w:val="clear" w:color="auto" w:fill="auto"/>
            <w:noWrap w:val="0"/>
            <w:vAlign w:val="center"/>
          </w:tcPr>
          <w:p>
            <w:pPr>
              <w:pStyle w:val="40"/>
              <w:rPr>
                <w:color w:val="auto"/>
              </w:rPr>
            </w:pPr>
            <w:r>
              <w:rPr>
                <w:rFonts w:hint="eastAsia"/>
                <w:color w:val="auto"/>
              </w:rPr>
              <w:t>废水收集处理</w:t>
            </w:r>
          </w:p>
        </w:tc>
        <w:tc>
          <w:tcPr>
            <w:tcW w:w="4923" w:type="dxa"/>
            <w:shd w:val="clear" w:color="auto" w:fill="auto"/>
            <w:noWrap w:val="0"/>
            <w:vAlign w:val="center"/>
          </w:tcPr>
          <w:p>
            <w:pPr>
              <w:pStyle w:val="40"/>
              <w:rPr>
                <w:color w:val="auto"/>
              </w:rPr>
            </w:pPr>
            <w:r>
              <w:rPr>
                <w:rFonts w:hint="eastAsia"/>
                <w:color w:val="auto"/>
              </w:rPr>
              <w:t>产业园区废水集中处理率未达到100%</w:t>
            </w:r>
          </w:p>
        </w:tc>
        <w:tc>
          <w:tcPr>
            <w:tcW w:w="889" w:type="dxa"/>
            <w:shd w:val="clear" w:color="auto" w:fill="auto"/>
            <w:noWrap w:val="0"/>
            <w:vAlign w:val="center"/>
          </w:tcPr>
          <w:p>
            <w:pPr>
              <w:pStyle w:val="40"/>
              <w:rPr>
                <w:color w:val="auto"/>
              </w:rPr>
            </w:pPr>
            <w:r>
              <w:rPr>
                <w:rFonts w:hint="eastAsia"/>
                <w:color w:val="auto"/>
              </w:rPr>
              <w:t>-3</w:t>
            </w:r>
          </w:p>
        </w:tc>
        <w:tc>
          <w:tcPr>
            <w:tcW w:w="4923" w:type="dxa"/>
            <w:shd w:val="clear" w:color="auto" w:fill="auto"/>
            <w:noWrap w:val="0"/>
            <w:vAlign w:val="center"/>
          </w:tcPr>
          <w:p>
            <w:pPr>
              <w:pStyle w:val="40"/>
              <w:rPr>
                <w:rFonts w:hint="default" w:eastAsia="宋体"/>
                <w:color w:val="auto"/>
                <w:lang w:val="en-US" w:eastAsia="zh-CN"/>
              </w:rPr>
            </w:pPr>
            <w:r>
              <w:rPr>
                <w:rFonts w:hint="eastAsia"/>
                <w:color w:val="auto"/>
              </w:rPr>
              <w:t>产业园区废水集中处理率达到100%</w:t>
            </w:r>
            <w:r>
              <w:rPr>
                <w:rFonts w:hint="eastAsia"/>
                <w:color w:val="auto"/>
                <w:lang w:eastAsia="zh-CN"/>
              </w:rPr>
              <w:t>，</w:t>
            </w:r>
            <w:r>
              <w:rPr>
                <w:rFonts w:hint="eastAsia"/>
                <w:color w:val="auto"/>
                <w:lang w:val="en-US" w:eastAsia="zh-CN"/>
              </w:rPr>
              <w:t>且园区污水处理厂进出水口均安装了在线自动监控设施，并与省、生态环境部门联网</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6</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产业园区污水处理厂执法监测不达标</w:t>
            </w:r>
          </w:p>
        </w:tc>
        <w:tc>
          <w:tcPr>
            <w:tcW w:w="889" w:type="dxa"/>
            <w:shd w:val="clear" w:color="auto" w:fill="auto"/>
            <w:noWrap w:val="0"/>
            <w:vAlign w:val="center"/>
          </w:tcPr>
          <w:p>
            <w:pPr>
              <w:pStyle w:val="40"/>
              <w:rPr>
                <w:color w:val="auto"/>
              </w:rPr>
            </w:pPr>
            <w:r>
              <w:rPr>
                <w:rFonts w:hint="eastAsia"/>
                <w:color w:val="auto"/>
              </w:rPr>
              <w:t>-2</w:t>
            </w:r>
          </w:p>
        </w:tc>
        <w:tc>
          <w:tcPr>
            <w:tcW w:w="4923" w:type="dxa"/>
            <w:shd w:val="clear" w:color="auto" w:fill="auto"/>
            <w:noWrap w:val="0"/>
            <w:vAlign w:val="center"/>
          </w:tcPr>
          <w:p>
            <w:pPr>
              <w:pStyle w:val="40"/>
              <w:rPr>
                <w:rFonts w:hint="default"/>
                <w:color w:val="auto"/>
                <w:lang w:val="en-US" w:eastAsia="zh-CN"/>
              </w:rPr>
            </w:pPr>
            <w:r>
              <w:rPr>
                <w:rFonts w:hint="eastAsia"/>
                <w:color w:val="auto"/>
                <w:lang w:val="en-US" w:eastAsia="zh-CN"/>
              </w:rPr>
              <w:t>园区污水处理厂执法</w:t>
            </w:r>
            <w:r>
              <w:rPr>
                <w:rFonts w:hint="default"/>
                <w:color w:val="auto"/>
                <w:lang w:val="en-US" w:eastAsia="zh-CN"/>
              </w:rPr>
              <w:t>监测报告</w:t>
            </w:r>
            <w:r>
              <w:rPr>
                <w:rFonts w:hint="eastAsia"/>
                <w:color w:val="auto"/>
                <w:lang w:val="en-US" w:eastAsia="zh-CN"/>
              </w:rPr>
              <w:t>均达标</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7</w:t>
            </w:r>
          </w:p>
        </w:tc>
        <w:tc>
          <w:tcPr>
            <w:tcW w:w="851" w:type="dxa"/>
            <w:vMerge w:val="continue"/>
            <w:shd w:val="clear" w:color="auto" w:fill="auto"/>
            <w:noWrap w:val="0"/>
            <w:vAlign w:val="center"/>
          </w:tcPr>
          <w:p>
            <w:pPr>
              <w:pStyle w:val="40"/>
              <w:rPr>
                <w:color w:val="auto"/>
              </w:rPr>
            </w:pPr>
          </w:p>
        </w:tc>
        <w:tc>
          <w:tcPr>
            <w:tcW w:w="1275" w:type="dxa"/>
            <w:vMerge w:val="restart"/>
            <w:shd w:val="clear" w:color="auto" w:fill="auto"/>
            <w:noWrap w:val="0"/>
            <w:vAlign w:val="center"/>
          </w:tcPr>
          <w:p>
            <w:pPr>
              <w:pStyle w:val="40"/>
              <w:rPr>
                <w:color w:val="auto"/>
              </w:rPr>
            </w:pPr>
            <w:r>
              <w:rPr>
                <w:rFonts w:hint="eastAsia"/>
                <w:color w:val="auto"/>
              </w:rPr>
              <w:t>废气治理与管理</w:t>
            </w:r>
          </w:p>
        </w:tc>
        <w:tc>
          <w:tcPr>
            <w:tcW w:w="4923" w:type="dxa"/>
            <w:shd w:val="clear" w:color="auto" w:fill="auto"/>
            <w:noWrap w:val="0"/>
            <w:vAlign w:val="center"/>
          </w:tcPr>
          <w:p>
            <w:pPr>
              <w:pStyle w:val="40"/>
              <w:rPr>
                <w:color w:val="auto"/>
              </w:rPr>
            </w:pPr>
            <w:r>
              <w:rPr>
                <w:rFonts w:hint="eastAsia"/>
                <w:color w:val="auto"/>
              </w:rPr>
              <w:t>产业园区涉VOCs重点排放企事业单位未进行有效收集、未设置有效的VOCs污染治理措施或未按规定建立管理台账</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eastAsia"/>
                <w:color w:val="auto"/>
                <w:lang w:val="en-US" w:eastAsia="zh-CN"/>
              </w:rPr>
            </w:pPr>
            <w:r>
              <w:rPr>
                <w:rFonts w:hint="eastAsia"/>
                <w:color w:val="auto"/>
              </w:rPr>
              <w:t>园区</w:t>
            </w:r>
            <w:r>
              <w:rPr>
                <w:rFonts w:hint="eastAsia"/>
                <w:color w:val="auto"/>
                <w:lang w:val="en-US" w:eastAsia="zh-CN"/>
              </w:rPr>
              <w:t>无</w:t>
            </w:r>
            <w:r>
              <w:rPr>
                <w:rFonts w:hint="eastAsia"/>
                <w:color w:val="auto"/>
              </w:rPr>
              <w:t>涉VOCs重点排放企事业单位</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8</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产业园区未按规定建成大气环境监控预警系统</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eastAsia"/>
                <w:color w:val="auto"/>
                <w:lang w:val="en-US" w:eastAsia="zh-CN"/>
              </w:rPr>
            </w:pPr>
            <w:r>
              <w:rPr>
                <w:rFonts w:hint="eastAsia"/>
                <w:color w:val="auto"/>
                <w:lang w:val="en-US" w:eastAsia="zh-CN"/>
              </w:rPr>
              <w:t>已建设沅陵产业开发区</w:t>
            </w:r>
            <w:r>
              <w:rPr>
                <w:rFonts w:hint="default"/>
                <w:color w:val="auto"/>
                <w:lang w:val="en-US" w:eastAsia="zh-CN"/>
              </w:rPr>
              <w:t>微型空气监测站</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9</w:t>
            </w:r>
          </w:p>
        </w:tc>
        <w:tc>
          <w:tcPr>
            <w:tcW w:w="851" w:type="dxa"/>
            <w:vMerge w:val="continue"/>
            <w:shd w:val="clear" w:color="auto" w:fill="auto"/>
            <w:noWrap w:val="0"/>
            <w:vAlign w:val="center"/>
          </w:tcPr>
          <w:p>
            <w:pPr>
              <w:pStyle w:val="40"/>
              <w:rPr>
                <w:color w:val="auto"/>
              </w:rPr>
            </w:pPr>
          </w:p>
        </w:tc>
        <w:tc>
          <w:tcPr>
            <w:tcW w:w="1275" w:type="dxa"/>
            <w:vMerge w:val="restart"/>
            <w:shd w:val="clear" w:color="auto" w:fill="auto"/>
            <w:noWrap w:val="0"/>
            <w:vAlign w:val="center"/>
          </w:tcPr>
          <w:p>
            <w:pPr>
              <w:pStyle w:val="40"/>
              <w:rPr>
                <w:color w:val="auto"/>
              </w:rPr>
            </w:pPr>
            <w:r>
              <w:rPr>
                <w:rFonts w:hint="eastAsia"/>
                <w:color w:val="auto"/>
              </w:rPr>
              <w:t>固废处置</w:t>
            </w:r>
          </w:p>
        </w:tc>
        <w:tc>
          <w:tcPr>
            <w:tcW w:w="4923" w:type="dxa"/>
            <w:shd w:val="clear" w:color="auto" w:fill="auto"/>
            <w:noWrap w:val="0"/>
            <w:vAlign w:val="center"/>
          </w:tcPr>
          <w:p>
            <w:pPr>
              <w:pStyle w:val="40"/>
              <w:rPr>
                <w:color w:val="auto"/>
              </w:rPr>
            </w:pPr>
            <w:r>
              <w:rPr>
                <w:rFonts w:hint="eastAsia"/>
                <w:color w:val="auto"/>
              </w:rPr>
              <w:t>产业园区未建成危险废物监管体系</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eastAsia"/>
                <w:color w:val="auto"/>
                <w:lang w:val="en-US" w:eastAsia="zh-CN"/>
              </w:rPr>
            </w:pPr>
            <w:r>
              <w:rPr>
                <w:rFonts w:hint="eastAsia"/>
                <w:color w:val="auto"/>
                <w:lang w:val="en-US" w:eastAsia="zh-CN"/>
              </w:rPr>
              <w:t>已</w:t>
            </w:r>
            <w:r>
              <w:rPr>
                <w:rFonts w:hint="eastAsia"/>
                <w:color w:val="auto"/>
              </w:rPr>
              <w:t>建成危险废物监管体系</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0</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产业园区内企事业单位发生危险废物非法倾倒、转移、处置事件</w:t>
            </w:r>
          </w:p>
        </w:tc>
        <w:tc>
          <w:tcPr>
            <w:tcW w:w="889" w:type="dxa"/>
            <w:shd w:val="clear" w:color="auto" w:fill="auto"/>
            <w:noWrap w:val="0"/>
            <w:vAlign w:val="center"/>
          </w:tcPr>
          <w:p>
            <w:pPr>
              <w:pStyle w:val="40"/>
              <w:rPr>
                <w:color w:val="auto"/>
              </w:rPr>
            </w:pPr>
            <w:r>
              <w:rPr>
                <w:rFonts w:hint="eastAsia"/>
                <w:color w:val="auto"/>
              </w:rPr>
              <w:t>-2</w:t>
            </w:r>
          </w:p>
        </w:tc>
        <w:tc>
          <w:tcPr>
            <w:tcW w:w="4923" w:type="dxa"/>
            <w:shd w:val="clear" w:color="auto" w:fill="auto"/>
            <w:noWrap w:val="0"/>
            <w:vAlign w:val="center"/>
          </w:tcPr>
          <w:p>
            <w:pPr>
              <w:pStyle w:val="40"/>
              <w:rPr>
                <w:rFonts w:hint="eastAsia"/>
                <w:color w:val="auto"/>
                <w:lang w:val="en-US" w:eastAsia="zh-CN"/>
              </w:rPr>
            </w:pPr>
            <w:r>
              <w:rPr>
                <w:rFonts w:hint="eastAsia"/>
                <w:color w:val="auto"/>
              </w:rPr>
              <w:t>产业园区内企事业单位</w:t>
            </w:r>
            <w:r>
              <w:rPr>
                <w:rFonts w:hint="eastAsia"/>
                <w:color w:val="auto"/>
                <w:lang w:val="en-US" w:eastAsia="zh-CN"/>
              </w:rPr>
              <w:t>无</w:t>
            </w:r>
            <w:r>
              <w:rPr>
                <w:rFonts w:hint="eastAsia"/>
                <w:color w:val="auto"/>
              </w:rPr>
              <w:t>危险废物非法倾倒、转移、处置事件</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1</w:t>
            </w:r>
          </w:p>
        </w:tc>
        <w:tc>
          <w:tcPr>
            <w:tcW w:w="851" w:type="dxa"/>
            <w:vMerge w:val="restart"/>
            <w:shd w:val="clear" w:color="auto" w:fill="auto"/>
            <w:noWrap w:val="0"/>
            <w:vAlign w:val="center"/>
          </w:tcPr>
          <w:p>
            <w:pPr>
              <w:pStyle w:val="40"/>
              <w:rPr>
                <w:color w:val="auto"/>
              </w:rPr>
            </w:pPr>
            <w:r>
              <w:rPr>
                <w:rFonts w:hint="eastAsia"/>
                <w:color w:val="auto"/>
              </w:rPr>
              <w:t>环境监测监管能力</w:t>
            </w:r>
          </w:p>
        </w:tc>
        <w:tc>
          <w:tcPr>
            <w:tcW w:w="1275" w:type="dxa"/>
            <w:vMerge w:val="restart"/>
            <w:shd w:val="clear" w:color="auto" w:fill="auto"/>
            <w:noWrap w:val="0"/>
            <w:vAlign w:val="center"/>
          </w:tcPr>
          <w:p>
            <w:pPr>
              <w:pStyle w:val="40"/>
              <w:rPr>
                <w:color w:val="auto"/>
              </w:rPr>
            </w:pPr>
            <w:r>
              <w:rPr>
                <w:rFonts w:hint="eastAsia"/>
                <w:color w:val="auto"/>
              </w:rPr>
              <w:t>监测能力</w:t>
            </w:r>
          </w:p>
        </w:tc>
        <w:tc>
          <w:tcPr>
            <w:tcW w:w="4923" w:type="dxa"/>
            <w:shd w:val="clear" w:color="auto" w:fill="auto"/>
            <w:noWrap w:val="0"/>
            <w:vAlign w:val="center"/>
          </w:tcPr>
          <w:p>
            <w:pPr>
              <w:pStyle w:val="40"/>
              <w:rPr>
                <w:color w:val="auto"/>
              </w:rPr>
            </w:pPr>
            <w:r>
              <w:rPr>
                <w:rFonts w:hint="eastAsia"/>
                <w:color w:val="auto"/>
              </w:rPr>
              <w:t>产业园区未开展自行监测或自行监测数据弄虚作假</w:t>
            </w:r>
          </w:p>
        </w:tc>
        <w:tc>
          <w:tcPr>
            <w:tcW w:w="889" w:type="dxa"/>
            <w:shd w:val="clear" w:color="auto" w:fill="auto"/>
            <w:noWrap w:val="0"/>
            <w:vAlign w:val="center"/>
          </w:tcPr>
          <w:p>
            <w:pPr>
              <w:pStyle w:val="40"/>
              <w:rPr>
                <w:color w:val="auto"/>
              </w:rPr>
            </w:pPr>
            <w:r>
              <w:rPr>
                <w:rFonts w:hint="eastAsia"/>
                <w:color w:val="auto"/>
              </w:rPr>
              <w:t>-2</w:t>
            </w:r>
          </w:p>
        </w:tc>
        <w:tc>
          <w:tcPr>
            <w:tcW w:w="4923" w:type="dxa"/>
            <w:shd w:val="clear" w:color="auto" w:fill="auto"/>
            <w:noWrap w:val="0"/>
            <w:vAlign w:val="center"/>
          </w:tcPr>
          <w:p>
            <w:pPr>
              <w:pStyle w:val="40"/>
              <w:rPr>
                <w:rFonts w:hint="default" w:eastAsia="宋体"/>
                <w:color w:val="auto"/>
                <w:lang w:val="en-US" w:eastAsia="zh-CN"/>
              </w:rPr>
            </w:pPr>
            <w:r>
              <w:rPr>
                <w:rFonts w:hint="eastAsia"/>
                <w:color w:val="auto"/>
                <w:lang w:val="en-US" w:eastAsia="zh-CN"/>
              </w:rPr>
              <w:t>园区在开展园区跟踪环境影响评价期间，开展了一期自行监测</w:t>
            </w:r>
          </w:p>
        </w:tc>
        <w:tc>
          <w:tcPr>
            <w:tcW w:w="889" w:type="dxa"/>
            <w:shd w:val="clear" w:color="auto" w:fill="auto"/>
            <w:noWrap w:val="0"/>
            <w:vAlign w:val="center"/>
          </w:tcPr>
          <w:p>
            <w:pPr>
              <w:pStyle w:val="40"/>
              <w:rPr>
                <w:color w:val="auto"/>
              </w:rPr>
            </w:pPr>
            <w:r>
              <w:rPr>
                <w:rFonts w:hint="eastAsia"/>
                <w:color w:val="auto"/>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2</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产业园区未按规定建立与环境监测要求相匹配的环境监测能力</w:t>
            </w:r>
          </w:p>
        </w:tc>
        <w:tc>
          <w:tcPr>
            <w:tcW w:w="889" w:type="dxa"/>
            <w:shd w:val="clear" w:color="auto" w:fill="auto"/>
            <w:noWrap w:val="0"/>
            <w:vAlign w:val="center"/>
          </w:tcPr>
          <w:p>
            <w:pPr>
              <w:pStyle w:val="40"/>
              <w:rPr>
                <w:color w:val="auto"/>
              </w:rPr>
            </w:pPr>
            <w:r>
              <w:rPr>
                <w:rFonts w:hint="eastAsia"/>
                <w:color w:val="auto"/>
              </w:rPr>
              <w:t>-1</w:t>
            </w:r>
          </w:p>
        </w:tc>
        <w:tc>
          <w:tcPr>
            <w:tcW w:w="4923" w:type="dxa"/>
            <w:vMerge w:val="restart"/>
            <w:shd w:val="clear" w:color="auto" w:fill="auto"/>
            <w:noWrap w:val="0"/>
            <w:vAlign w:val="center"/>
          </w:tcPr>
          <w:p>
            <w:pPr>
              <w:pStyle w:val="40"/>
              <w:rPr>
                <w:rFonts w:hint="default"/>
                <w:color w:val="auto"/>
                <w:lang w:val="en-US"/>
              </w:rPr>
            </w:pPr>
            <w:r>
              <w:rPr>
                <w:rFonts w:hint="eastAsia"/>
                <w:color w:val="auto"/>
                <w:lang w:eastAsia="zh-CN"/>
              </w:rPr>
              <w:t>园区已建成检测参数为PM</w:t>
            </w:r>
            <w:r>
              <w:rPr>
                <w:rFonts w:hint="eastAsia"/>
                <w:color w:val="auto"/>
                <w:vertAlign w:val="subscript"/>
                <w:lang w:eastAsia="zh-CN"/>
              </w:rPr>
              <w:t>10</w:t>
            </w:r>
            <w:r>
              <w:rPr>
                <w:rFonts w:hint="eastAsia"/>
                <w:color w:val="auto"/>
                <w:lang w:eastAsia="zh-CN"/>
              </w:rPr>
              <w:t>、PM</w:t>
            </w:r>
            <w:r>
              <w:rPr>
                <w:rFonts w:hint="eastAsia"/>
                <w:color w:val="auto"/>
                <w:vertAlign w:val="subscript"/>
                <w:lang w:eastAsia="zh-CN"/>
              </w:rPr>
              <w:t>2.5</w:t>
            </w:r>
            <w:r>
              <w:rPr>
                <w:rFonts w:hint="eastAsia"/>
                <w:color w:val="auto"/>
                <w:lang w:eastAsia="zh-CN"/>
              </w:rPr>
              <w:t>、SO</w:t>
            </w:r>
            <w:r>
              <w:rPr>
                <w:rFonts w:hint="eastAsia"/>
                <w:color w:val="auto"/>
                <w:vertAlign w:val="subscript"/>
                <w:lang w:eastAsia="zh-CN"/>
              </w:rPr>
              <w:t>2</w:t>
            </w:r>
            <w:r>
              <w:rPr>
                <w:rFonts w:hint="eastAsia"/>
                <w:color w:val="auto"/>
                <w:lang w:eastAsia="zh-CN"/>
              </w:rPr>
              <w:t>、NO</w:t>
            </w:r>
            <w:r>
              <w:rPr>
                <w:rFonts w:hint="eastAsia"/>
                <w:color w:val="auto"/>
                <w:vertAlign w:val="subscript"/>
                <w:lang w:eastAsia="zh-CN"/>
              </w:rPr>
              <w:t>2</w:t>
            </w:r>
            <w:r>
              <w:rPr>
                <w:rFonts w:hint="eastAsia"/>
                <w:color w:val="auto"/>
                <w:lang w:eastAsia="zh-CN"/>
              </w:rPr>
              <w:t>、CO</w:t>
            </w:r>
            <w:r>
              <w:rPr>
                <w:rFonts w:hint="eastAsia"/>
                <w:color w:val="auto"/>
                <w:vertAlign w:val="subscript"/>
                <w:lang w:eastAsia="zh-CN"/>
              </w:rPr>
              <w:t>3</w:t>
            </w:r>
            <w:r>
              <w:rPr>
                <w:rFonts w:hint="eastAsia"/>
                <w:color w:val="auto"/>
                <w:lang w:eastAsia="zh-CN"/>
              </w:rPr>
              <w:t>及气象五参数的微型空气监测站一座，</w:t>
            </w:r>
            <w:r>
              <w:rPr>
                <w:rFonts w:hint="eastAsia"/>
                <w:color w:val="auto"/>
                <w:lang w:val="en-US" w:eastAsia="zh-CN"/>
              </w:rPr>
              <w:t>且园区污水处理站进出口已配套建设了在线自动监控系统并联网。目前，园区正在省生态环境厅的部署和要求，加快构建园区环境综合监管平台建设</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3</w:t>
            </w:r>
          </w:p>
        </w:tc>
        <w:tc>
          <w:tcPr>
            <w:tcW w:w="851" w:type="dxa"/>
            <w:vMerge w:val="continue"/>
            <w:shd w:val="clear" w:color="auto" w:fill="auto"/>
            <w:noWrap w:val="0"/>
            <w:vAlign w:val="center"/>
          </w:tcPr>
          <w:p>
            <w:pPr>
              <w:pStyle w:val="40"/>
              <w:rPr>
                <w:color w:val="auto"/>
              </w:rPr>
            </w:pPr>
          </w:p>
        </w:tc>
        <w:tc>
          <w:tcPr>
            <w:tcW w:w="1275" w:type="dxa"/>
            <w:shd w:val="clear" w:color="auto" w:fill="auto"/>
            <w:noWrap w:val="0"/>
            <w:vAlign w:val="center"/>
          </w:tcPr>
          <w:p>
            <w:pPr>
              <w:pStyle w:val="40"/>
              <w:rPr>
                <w:color w:val="auto"/>
              </w:rPr>
            </w:pPr>
            <w:r>
              <w:rPr>
                <w:rFonts w:hint="eastAsia"/>
                <w:color w:val="auto"/>
              </w:rPr>
              <w:t>监管能力</w:t>
            </w:r>
          </w:p>
        </w:tc>
        <w:tc>
          <w:tcPr>
            <w:tcW w:w="4923" w:type="dxa"/>
            <w:shd w:val="clear" w:color="auto" w:fill="auto"/>
            <w:noWrap w:val="0"/>
            <w:vAlign w:val="center"/>
          </w:tcPr>
          <w:p>
            <w:pPr>
              <w:pStyle w:val="40"/>
              <w:rPr>
                <w:color w:val="auto"/>
              </w:rPr>
            </w:pPr>
            <w:r>
              <w:rPr>
                <w:rFonts w:hint="eastAsia"/>
                <w:color w:val="auto"/>
              </w:rPr>
              <w:t>产业园区建立了污染源在线监控、企事业单位生产工况、电能监控、一企一管水质监控、视频监控及环保设施运行监控、环境质量监控等产业园区数字化在线监控平台（任意一项）</w:t>
            </w:r>
          </w:p>
        </w:tc>
        <w:tc>
          <w:tcPr>
            <w:tcW w:w="889" w:type="dxa"/>
            <w:shd w:val="clear" w:color="auto" w:fill="auto"/>
            <w:noWrap w:val="0"/>
            <w:vAlign w:val="center"/>
          </w:tcPr>
          <w:p>
            <w:pPr>
              <w:pStyle w:val="40"/>
              <w:rPr>
                <w:color w:val="auto"/>
              </w:rPr>
            </w:pPr>
            <w:r>
              <w:rPr>
                <w:rFonts w:hint="eastAsia"/>
                <w:color w:val="auto"/>
              </w:rPr>
              <w:t>+1</w:t>
            </w:r>
          </w:p>
        </w:tc>
        <w:tc>
          <w:tcPr>
            <w:tcW w:w="4923" w:type="dxa"/>
            <w:vMerge w:val="continue"/>
            <w:shd w:val="clear" w:color="auto" w:fill="auto"/>
            <w:noWrap w:val="0"/>
            <w:vAlign w:val="center"/>
          </w:tcPr>
          <w:p>
            <w:pPr>
              <w:pStyle w:val="40"/>
              <w:rPr>
                <w:rFonts w:hint="eastAsia"/>
                <w:color w:val="auto"/>
              </w:rPr>
            </w:pPr>
          </w:p>
        </w:tc>
        <w:tc>
          <w:tcPr>
            <w:tcW w:w="889" w:type="dxa"/>
            <w:shd w:val="clear" w:color="auto" w:fill="auto"/>
            <w:noWrap w:val="0"/>
            <w:vAlign w:val="center"/>
          </w:tcPr>
          <w:p>
            <w:pPr>
              <w:pStyle w:val="40"/>
              <w:rPr>
                <w:rFonts w:hint="eastAsia" w:eastAsia="宋体"/>
                <w:color w:val="auto"/>
                <w:lang w:eastAsia="zh-CN"/>
              </w:rPr>
            </w:pPr>
            <w:r>
              <w:rPr>
                <w:rFonts w:hint="eastAsia"/>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4</w:t>
            </w:r>
          </w:p>
        </w:tc>
        <w:tc>
          <w:tcPr>
            <w:tcW w:w="851" w:type="dxa"/>
            <w:vMerge w:val="continue"/>
            <w:shd w:val="clear" w:color="auto" w:fill="auto"/>
            <w:noWrap w:val="0"/>
            <w:vAlign w:val="center"/>
          </w:tcPr>
          <w:p>
            <w:pPr>
              <w:pStyle w:val="40"/>
              <w:rPr>
                <w:color w:val="auto"/>
              </w:rPr>
            </w:pPr>
          </w:p>
        </w:tc>
        <w:tc>
          <w:tcPr>
            <w:tcW w:w="1275" w:type="dxa"/>
            <w:shd w:val="clear" w:color="auto" w:fill="auto"/>
            <w:noWrap w:val="0"/>
            <w:vAlign w:val="center"/>
          </w:tcPr>
          <w:p>
            <w:pPr>
              <w:pStyle w:val="40"/>
              <w:rPr>
                <w:color w:val="auto"/>
              </w:rPr>
            </w:pPr>
            <w:r>
              <w:rPr>
                <w:rFonts w:hint="eastAsia"/>
                <w:color w:val="auto"/>
              </w:rPr>
              <w:t>信息化建设</w:t>
            </w:r>
          </w:p>
        </w:tc>
        <w:tc>
          <w:tcPr>
            <w:tcW w:w="4923" w:type="dxa"/>
            <w:shd w:val="clear" w:color="auto" w:fill="auto"/>
            <w:noWrap w:val="0"/>
            <w:vAlign w:val="center"/>
          </w:tcPr>
          <w:p>
            <w:pPr>
              <w:pStyle w:val="40"/>
              <w:rPr>
                <w:color w:val="auto"/>
              </w:rPr>
            </w:pPr>
            <w:r>
              <w:rPr>
                <w:rFonts w:hint="eastAsia"/>
                <w:color w:val="auto"/>
              </w:rPr>
              <w:t>产业园区未建立环境信息管理档案</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default"/>
                <w:color w:val="auto"/>
                <w:lang w:val="en-US" w:eastAsia="zh-CN"/>
              </w:rPr>
            </w:pPr>
            <w:r>
              <w:rPr>
                <w:rFonts w:hint="eastAsia"/>
                <w:color w:val="auto"/>
                <w:lang w:val="en-US" w:eastAsia="zh-CN"/>
              </w:rPr>
              <w:t>沅陵产业开发区已经按照《关于做好产业园区污水处理设施问题排查整治销号和“一园一档”管理工作的通知》（湘环函[2020]39号）要求完成园区“一园一档”建设</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5</w:t>
            </w:r>
          </w:p>
        </w:tc>
        <w:tc>
          <w:tcPr>
            <w:tcW w:w="851" w:type="dxa"/>
            <w:vMerge w:val="continue"/>
            <w:shd w:val="clear" w:color="auto" w:fill="auto"/>
            <w:noWrap w:val="0"/>
            <w:vAlign w:val="center"/>
          </w:tcPr>
          <w:p>
            <w:pPr>
              <w:pStyle w:val="40"/>
              <w:rPr>
                <w:color w:val="auto"/>
              </w:rPr>
            </w:pPr>
          </w:p>
        </w:tc>
        <w:tc>
          <w:tcPr>
            <w:tcW w:w="1275" w:type="dxa"/>
            <w:shd w:val="clear" w:color="auto" w:fill="auto"/>
            <w:noWrap w:val="0"/>
            <w:vAlign w:val="center"/>
          </w:tcPr>
          <w:p>
            <w:pPr>
              <w:pStyle w:val="40"/>
              <w:rPr>
                <w:color w:val="auto"/>
              </w:rPr>
            </w:pPr>
            <w:r>
              <w:rPr>
                <w:rFonts w:hint="eastAsia"/>
                <w:color w:val="auto"/>
              </w:rPr>
              <w:t>环保信息公开</w:t>
            </w:r>
          </w:p>
        </w:tc>
        <w:tc>
          <w:tcPr>
            <w:tcW w:w="4923" w:type="dxa"/>
            <w:shd w:val="clear" w:color="auto" w:fill="auto"/>
            <w:noWrap w:val="0"/>
            <w:vAlign w:val="center"/>
          </w:tcPr>
          <w:p>
            <w:pPr>
              <w:pStyle w:val="40"/>
              <w:rPr>
                <w:color w:val="auto"/>
              </w:rPr>
            </w:pPr>
            <w:r>
              <w:rPr>
                <w:rFonts w:hint="eastAsia"/>
                <w:color w:val="auto"/>
              </w:rPr>
              <w:t>产业园区未及时公开年度环境监测报告或园区年度环境监测信息，园区污染物排放状况、企业达标排放情况、环境基础设施建设和运行情况、环境风险防控措施落实情况等信息公开不完整的</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default"/>
                <w:color w:val="auto"/>
                <w:lang w:val="en-US" w:eastAsia="zh-CN"/>
              </w:rPr>
            </w:pPr>
            <w:r>
              <w:rPr>
                <w:rFonts w:hint="eastAsia"/>
                <w:color w:val="auto"/>
                <w:lang w:eastAsia="zh-CN"/>
              </w:rPr>
              <w:t>2021年，</w:t>
            </w:r>
            <w:r>
              <w:rPr>
                <w:rFonts w:hint="eastAsia"/>
                <w:color w:val="auto"/>
                <w:lang w:val="en-US" w:eastAsia="zh-CN"/>
              </w:rPr>
              <w:t>沅陵产业开发区</w:t>
            </w:r>
            <w:r>
              <w:rPr>
                <w:rFonts w:hint="eastAsia"/>
                <w:color w:val="auto"/>
              </w:rPr>
              <w:t>以公告栏张贴公示的方式公示了园区的污水处理设施和基础设施建设、运营情况，环境风险防范措施情况等</w:t>
            </w:r>
            <w:r>
              <w:rPr>
                <w:rFonts w:hint="eastAsia"/>
                <w:color w:val="auto"/>
                <w:lang w:val="en-US" w:eastAsia="zh-CN"/>
              </w:rPr>
              <w:t>以及在沅陵县人民政府网上公示了《沅陵产业开发区生态环境管理2020年度自评估报告》相关内容</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6</w:t>
            </w:r>
          </w:p>
        </w:tc>
        <w:tc>
          <w:tcPr>
            <w:tcW w:w="851" w:type="dxa"/>
            <w:vMerge w:val="restart"/>
            <w:shd w:val="clear" w:color="auto" w:fill="auto"/>
            <w:noWrap w:val="0"/>
            <w:vAlign w:val="center"/>
          </w:tcPr>
          <w:p>
            <w:pPr>
              <w:pStyle w:val="40"/>
              <w:rPr>
                <w:color w:val="auto"/>
              </w:rPr>
            </w:pPr>
            <w:r>
              <w:rPr>
                <w:rFonts w:hint="eastAsia"/>
                <w:color w:val="auto"/>
              </w:rPr>
              <w:t>环境风险防控</w:t>
            </w:r>
          </w:p>
        </w:tc>
        <w:tc>
          <w:tcPr>
            <w:tcW w:w="1275" w:type="dxa"/>
            <w:shd w:val="clear" w:color="auto" w:fill="auto"/>
            <w:noWrap w:val="0"/>
            <w:vAlign w:val="center"/>
          </w:tcPr>
          <w:p>
            <w:pPr>
              <w:pStyle w:val="40"/>
              <w:rPr>
                <w:color w:val="auto"/>
              </w:rPr>
            </w:pPr>
            <w:r>
              <w:rPr>
                <w:rFonts w:hint="eastAsia"/>
                <w:color w:val="auto"/>
              </w:rPr>
              <w:t>环境风险排查</w:t>
            </w:r>
          </w:p>
        </w:tc>
        <w:tc>
          <w:tcPr>
            <w:tcW w:w="4923" w:type="dxa"/>
            <w:shd w:val="clear" w:color="auto" w:fill="auto"/>
            <w:noWrap w:val="0"/>
            <w:vAlign w:val="center"/>
          </w:tcPr>
          <w:p>
            <w:pPr>
              <w:pStyle w:val="40"/>
              <w:rPr>
                <w:color w:val="auto"/>
              </w:rPr>
            </w:pPr>
            <w:r>
              <w:rPr>
                <w:rFonts w:hint="eastAsia"/>
                <w:color w:val="auto"/>
              </w:rPr>
              <w:t>产业园区年度内未开展环境风险隐患和环境问题排查工作</w:t>
            </w:r>
          </w:p>
        </w:tc>
        <w:tc>
          <w:tcPr>
            <w:tcW w:w="889" w:type="dxa"/>
            <w:shd w:val="clear" w:color="auto" w:fill="auto"/>
            <w:noWrap w:val="0"/>
            <w:vAlign w:val="center"/>
          </w:tcPr>
          <w:p>
            <w:pPr>
              <w:pStyle w:val="40"/>
              <w:rPr>
                <w:color w:val="auto"/>
              </w:rPr>
            </w:pPr>
            <w:r>
              <w:rPr>
                <w:rFonts w:hint="eastAsia"/>
                <w:color w:val="auto"/>
              </w:rPr>
              <w:t>-2</w:t>
            </w:r>
          </w:p>
        </w:tc>
        <w:tc>
          <w:tcPr>
            <w:tcW w:w="4923" w:type="dxa"/>
            <w:shd w:val="clear" w:color="auto" w:fill="auto"/>
            <w:noWrap w:val="0"/>
            <w:vAlign w:val="center"/>
          </w:tcPr>
          <w:p>
            <w:pPr>
              <w:pStyle w:val="40"/>
              <w:rPr>
                <w:rFonts w:hint="default"/>
                <w:color w:val="auto"/>
                <w:lang w:val="en-US" w:eastAsia="zh-CN"/>
              </w:rPr>
            </w:pPr>
            <w:r>
              <w:rPr>
                <w:rFonts w:hint="eastAsia" w:cs="Times New Roman" w:eastAsiaTheme="minorEastAsia"/>
                <w:color w:val="auto"/>
                <w:sz w:val="21"/>
                <w:szCs w:val="21"/>
                <w:lang w:eastAsia="zh-CN"/>
              </w:rPr>
              <w:t>2021年</w:t>
            </w:r>
            <w:r>
              <w:rPr>
                <w:rFonts w:ascii="Times New Roman" w:hAnsi="Times New Roman" w:cs="Times New Roman" w:eastAsiaTheme="minorEastAsia"/>
                <w:color w:val="auto"/>
                <w:sz w:val="21"/>
                <w:szCs w:val="21"/>
              </w:rPr>
              <w:t>园区开展了企业</w:t>
            </w:r>
            <w:r>
              <w:rPr>
                <w:rFonts w:hint="eastAsia" w:cs="Times New Roman" w:eastAsiaTheme="minorEastAsia"/>
                <w:color w:val="auto"/>
                <w:sz w:val="21"/>
                <w:szCs w:val="21"/>
                <w:lang w:val="en-US" w:eastAsia="zh-CN"/>
              </w:rPr>
              <w:t>环境问题排查</w:t>
            </w:r>
            <w:r>
              <w:rPr>
                <w:rFonts w:ascii="Times New Roman" w:hAnsi="Times New Roman" w:cs="Times New Roman" w:eastAsiaTheme="minorEastAsia"/>
                <w:color w:val="auto"/>
                <w:sz w:val="21"/>
                <w:szCs w:val="21"/>
              </w:rPr>
              <w:t>和园区雨污水官网</w:t>
            </w:r>
            <w:r>
              <w:rPr>
                <w:rFonts w:hint="eastAsia" w:cs="Times New Roman" w:eastAsiaTheme="minorEastAsia"/>
                <w:color w:val="auto"/>
                <w:sz w:val="21"/>
                <w:szCs w:val="21"/>
                <w:lang w:val="en-US" w:eastAsia="zh-CN"/>
              </w:rPr>
              <w:t>排查</w:t>
            </w:r>
            <w:r>
              <w:rPr>
                <w:rFonts w:ascii="Times New Roman" w:hAnsi="Times New Roman" w:cs="Times New Roman" w:eastAsiaTheme="minorEastAsia"/>
                <w:color w:val="auto"/>
                <w:sz w:val="21"/>
                <w:szCs w:val="21"/>
              </w:rPr>
              <w:t>等工作</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7</w:t>
            </w:r>
          </w:p>
        </w:tc>
        <w:tc>
          <w:tcPr>
            <w:tcW w:w="851" w:type="dxa"/>
            <w:vMerge w:val="continue"/>
            <w:shd w:val="clear" w:color="auto" w:fill="auto"/>
            <w:noWrap w:val="0"/>
            <w:vAlign w:val="center"/>
          </w:tcPr>
          <w:p>
            <w:pPr>
              <w:pStyle w:val="40"/>
              <w:rPr>
                <w:color w:val="auto"/>
              </w:rPr>
            </w:pPr>
          </w:p>
        </w:tc>
        <w:tc>
          <w:tcPr>
            <w:tcW w:w="1275" w:type="dxa"/>
            <w:vMerge w:val="restart"/>
            <w:shd w:val="clear" w:color="auto" w:fill="auto"/>
            <w:noWrap w:val="0"/>
            <w:vAlign w:val="center"/>
          </w:tcPr>
          <w:p>
            <w:pPr>
              <w:pStyle w:val="40"/>
              <w:rPr>
                <w:color w:val="auto"/>
              </w:rPr>
            </w:pPr>
            <w:r>
              <w:rPr>
                <w:rFonts w:hint="eastAsia"/>
                <w:color w:val="auto"/>
              </w:rPr>
              <w:t>环境应急保障能力建设</w:t>
            </w:r>
          </w:p>
        </w:tc>
        <w:tc>
          <w:tcPr>
            <w:tcW w:w="4923" w:type="dxa"/>
            <w:shd w:val="clear" w:color="auto" w:fill="auto"/>
            <w:noWrap w:val="0"/>
            <w:vAlign w:val="center"/>
          </w:tcPr>
          <w:p>
            <w:pPr>
              <w:pStyle w:val="40"/>
              <w:rPr>
                <w:color w:val="auto"/>
              </w:rPr>
            </w:pPr>
            <w:r>
              <w:rPr>
                <w:rFonts w:hint="eastAsia"/>
                <w:color w:val="auto"/>
              </w:rPr>
              <w:t>产业园区设置了风险防控环境应急指挥平台</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eastAsia"/>
                <w:color w:val="auto"/>
                <w:lang w:val="en-US" w:eastAsia="zh-CN"/>
              </w:rPr>
            </w:pPr>
            <w:r>
              <w:rPr>
                <w:rFonts w:hint="eastAsia"/>
                <w:color w:val="auto"/>
                <w:lang w:val="en-US" w:eastAsia="zh-CN"/>
              </w:rPr>
              <w:t>园区尚未建设</w:t>
            </w:r>
            <w:r>
              <w:rPr>
                <w:rFonts w:hint="eastAsia"/>
                <w:color w:val="auto"/>
              </w:rPr>
              <w:t>风险防控环境应急指挥平台</w:t>
            </w:r>
          </w:p>
        </w:tc>
        <w:tc>
          <w:tcPr>
            <w:tcW w:w="889" w:type="dxa"/>
            <w:shd w:val="clear" w:color="auto" w:fill="auto"/>
            <w:noWrap w:val="0"/>
            <w:vAlign w:val="center"/>
          </w:tcPr>
          <w:p>
            <w:pPr>
              <w:pStyle w:val="40"/>
              <w:rPr>
                <w:rFonts w:hint="eastAsia" w:eastAsia="宋体"/>
                <w:color w:val="auto"/>
                <w:lang w:eastAsia="zh-CN"/>
              </w:rPr>
            </w:pPr>
            <w:r>
              <w:rPr>
                <w:rFonts w:hint="eastAsia"/>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8</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产业园区未按要求制定或修编园区突发环境事件应急预案</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keepNext w:val="0"/>
              <w:keepLines w:val="0"/>
              <w:widowControl/>
              <w:suppressLineNumbers w:val="0"/>
              <w:jc w:val="center"/>
              <w:rPr>
                <w:rFonts w:hint="default"/>
                <w:color w:val="auto"/>
                <w:lang w:val="en-US" w:eastAsia="zh-CN"/>
              </w:rPr>
            </w:pPr>
            <w:r>
              <w:rPr>
                <w:rFonts w:hint="eastAsia" w:ascii="Times New Roman" w:hAnsi="Times New Roman" w:eastAsia="宋体" w:cs="Times New Roman"/>
                <w:b w:val="0"/>
                <w:bCs w:val="0"/>
                <w:color w:val="auto"/>
                <w:kern w:val="2"/>
                <w:sz w:val="21"/>
                <w:szCs w:val="32"/>
                <w:lang w:val="en-US" w:eastAsia="zh-CN" w:bidi="ar-SA"/>
              </w:rPr>
              <w:t xml:space="preserve">园区编制了《沅陵县工业集中区突发环境事件应急预案》，并分别于 </w:t>
            </w:r>
            <w:r>
              <w:rPr>
                <w:rFonts w:hint="default" w:ascii="Times New Roman" w:hAnsi="Times New Roman" w:eastAsia="宋体" w:cs="Times New Roman"/>
                <w:b w:val="0"/>
                <w:bCs w:val="0"/>
                <w:color w:val="auto"/>
                <w:kern w:val="2"/>
                <w:sz w:val="21"/>
                <w:szCs w:val="32"/>
                <w:lang w:val="en-US" w:eastAsia="zh-CN" w:bidi="ar-SA"/>
              </w:rPr>
              <w:t xml:space="preserve">2019 </w:t>
            </w:r>
            <w:r>
              <w:rPr>
                <w:rFonts w:hint="eastAsia" w:ascii="Times New Roman" w:hAnsi="Times New Roman" w:eastAsia="宋体" w:cs="Times New Roman"/>
                <w:b w:val="0"/>
                <w:bCs w:val="0"/>
                <w:color w:val="auto"/>
                <w:kern w:val="2"/>
                <w:sz w:val="21"/>
                <w:szCs w:val="32"/>
                <w:lang w:val="en-US" w:eastAsia="zh-CN" w:bidi="ar-SA"/>
              </w:rPr>
              <w:t xml:space="preserve">年 </w:t>
            </w:r>
            <w:r>
              <w:rPr>
                <w:rFonts w:hint="default" w:ascii="Times New Roman" w:hAnsi="Times New Roman" w:eastAsia="宋体" w:cs="Times New Roman"/>
                <w:b w:val="0"/>
                <w:bCs w:val="0"/>
                <w:color w:val="auto"/>
                <w:kern w:val="2"/>
                <w:sz w:val="21"/>
                <w:szCs w:val="32"/>
                <w:lang w:val="en-US" w:eastAsia="zh-CN" w:bidi="ar-SA"/>
              </w:rPr>
              <w:t xml:space="preserve">4 </w:t>
            </w:r>
            <w:r>
              <w:rPr>
                <w:rFonts w:hint="eastAsia" w:ascii="Times New Roman" w:hAnsi="Times New Roman" w:eastAsia="宋体" w:cs="Times New Roman"/>
                <w:b w:val="0"/>
                <w:bCs w:val="0"/>
                <w:color w:val="auto"/>
                <w:kern w:val="2"/>
                <w:sz w:val="21"/>
                <w:szCs w:val="32"/>
                <w:lang w:val="en-US" w:eastAsia="zh-CN" w:bidi="ar-SA"/>
              </w:rPr>
              <w:t>月在怀化市生态环境局沅陵分局备案（备案编号为</w:t>
            </w:r>
            <w:r>
              <w:rPr>
                <w:rFonts w:hint="default" w:ascii="Times New Roman" w:hAnsi="Times New Roman" w:eastAsia="宋体" w:cs="Times New Roman"/>
                <w:b w:val="0"/>
                <w:bCs w:val="0"/>
                <w:color w:val="auto"/>
                <w:kern w:val="2"/>
                <w:sz w:val="21"/>
                <w:szCs w:val="32"/>
                <w:lang w:val="en-US" w:eastAsia="zh-CN" w:bidi="ar-SA"/>
              </w:rPr>
              <w:t>431222-2019-001-L</w:t>
            </w:r>
            <w:r>
              <w:rPr>
                <w:rFonts w:hint="eastAsia" w:ascii="Times New Roman" w:hAnsi="Times New Roman" w:eastAsia="宋体" w:cs="Times New Roman"/>
                <w:b w:val="0"/>
                <w:bCs w:val="0"/>
                <w:color w:val="auto"/>
                <w:kern w:val="2"/>
                <w:sz w:val="21"/>
                <w:szCs w:val="32"/>
                <w:lang w:val="en-US" w:eastAsia="zh-CN" w:bidi="ar-SA"/>
              </w:rPr>
              <w:t>）、</w:t>
            </w:r>
            <w:r>
              <w:rPr>
                <w:rFonts w:hint="default" w:ascii="Times New Roman" w:hAnsi="Times New Roman" w:eastAsia="宋体" w:cs="Times New Roman"/>
                <w:b w:val="0"/>
                <w:bCs w:val="0"/>
                <w:color w:val="auto"/>
                <w:kern w:val="2"/>
                <w:sz w:val="21"/>
                <w:szCs w:val="32"/>
                <w:lang w:val="en-US" w:eastAsia="zh-CN" w:bidi="ar-SA"/>
              </w:rPr>
              <w:t xml:space="preserve">2019 </w:t>
            </w:r>
            <w:r>
              <w:rPr>
                <w:rFonts w:hint="eastAsia" w:ascii="Times New Roman" w:hAnsi="Times New Roman" w:eastAsia="宋体" w:cs="Times New Roman"/>
                <w:b w:val="0"/>
                <w:bCs w:val="0"/>
                <w:color w:val="auto"/>
                <w:kern w:val="2"/>
                <w:sz w:val="21"/>
                <w:szCs w:val="32"/>
                <w:lang w:val="en-US" w:eastAsia="zh-CN" w:bidi="ar-SA"/>
              </w:rPr>
              <w:t xml:space="preserve">年 </w:t>
            </w:r>
            <w:r>
              <w:rPr>
                <w:rFonts w:hint="default" w:ascii="Times New Roman" w:hAnsi="Times New Roman" w:eastAsia="宋体" w:cs="Times New Roman"/>
                <w:b w:val="0"/>
                <w:bCs w:val="0"/>
                <w:color w:val="auto"/>
                <w:kern w:val="2"/>
                <w:sz w:val="21"/>
                <w:szCs w:val="32"/>
                <w:lang w:val="en-US" w:eastAsia="zh-CN" w:bidi="ar-SA"/>
              </w:rPr>
              <w:t xml:space="preserve">12 </w:t>
            </w:r>
            <w:r>
              <w:rPr>
                <w:rFonts w:hint="eastAsia" w:ascii="Times New Roman" w:hAnsi="Times New Roman" w:eastAsia="宋体" w:cs="Times New Roman"/>
                <w:b w:val="0"/>
                <w:bCs w:val="0"/>
                <w:color w:val="auto"/>
                <w:kern w:val="2"/>
                <w:sz w:val="21"/>
                <w:szCs w:val="32"/>
                <w:lang w:val="en-US" w:eastAsia="zh-CN" w:bidi="ar-SA"/>
              </w:rPr>
              <w:t xml:space="preserve">月在怀化市生态环境局备案（备案编号为 </w:t>
            </w:r>
            <w:r>
              <w:rPr>
                <w:rFonts w:hint="default" w:ascii="Times New Roman" w:hAnsi="Times New Roman" w:eastAsia="宋体" w:cs="Times New Roman"/>
                <w:b w:val="0"/>
                <w:bCs w:val="0"/>
                <w:color w:val="auto"/>
                <w:kern w:val="2"/>
                <w:sz w:val="21"/>
                <w:szCs w:val="32"/>
                <w:lang w:val="en-US" w:eastAsia="zh-CN" w:bidi="ar-SA"/>
              </w:rPr>
              <w:t>431222-2019-016-G</w:t>
            </w:r>
            <w:r>
              <w:rPr>
                <w:rFonts w:hint="eastAsia" w:ascii="Times New Roman" w:hAnsi="Times New Roman" w:eastAsia="宋体" w:cs="Times New Roman"/>
                <w:b w:val="0"/>
                <w:bCs w:val="0"/>
                <w:color w:val="auto"/>
                <w:kern w:val="2"/>
                <w:sz w:val="21"/>
                <w:szCs w:val="32"/>
                <w:lang w:val="en-US" w:eastAsia="zh-CN" w:bidi="ar-SA"/>
              </w:rPr>
              <w:t>）</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1</w:t>
            </w:r>
            <w:r>
              <w:rPr>
                <w:color w:val="auto"/>
              </w:rPr>
              <w:t>9</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产业园区未定期组织开展应急演练</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kern w:val="2"/>
                <w:sz w:val="21"/>
                <w:szCs w:val="21"/>
                <w:lang w:val="en-US" w:eastAsia="zh-CN" w:bidi="ar-SA"/>
              </w:rPr>
              <w:t>2021年11月，园区组织湖南奇力电子科技有限公司对照已制定的园区突发环境事件应急预案要求，联合开展了园区突发环境事件应急演练。</w:t>
            </w:r>
          </w:p>
          <w:p>
            <w:pPr>
              <w:pStyle w:val="40"/>
              <w:rPr>
                <w:rFonts w:hint="default"/>
                <w:color w:val="auto"/>
                <w:lang w:val="en-US" w:eastAsia="zh-CN"/>
              </w:rPr>
            </w:pPr>
          </w:p>
        </w:tc>
        <w:tc>
          <w:tcPr>
            <w:tcW w:w="889" w:type="dxa"/>
            <w:shd w:val="clear" w:color="auto" w:fill="auto"/>
            <w:noWrap w:val="0"/>
            <w:vAlign w:val="center"/>
          </w:tcPr>
          <w:p>
            <w:pPr>
              <w:pStyle w:val="40"/>
              <w:rPr>
                <w:rFonts w:hint="default" w:eastAsia="宋体"/>
                <w:color w:val="auto"/>
                <w:lang w:val="en-US" w:eastAsia="zh-CN"/>
              </w:rPr>
            </w:pPr>
            <w:r>
              <w:rPr>
                <w:rFonts w:hint="eastAsia"/>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2</w:t>
            </w:r>
            <w:r>
              <w:rPr>
                <w:color w:val="auto"/>
              </w:rPr>
              <w:t>0</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产业园区环境应急救援物资配备不符合规定</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default"/>
                <w:color w:val="auto"/>
                <w:lang w:val="en-US" w:eastAsia="zh-CN"/>
              </w:rPr>
            </w:pPr>
            <w:r>
              <w:rPr>
                <w:rFonts w:hint="eastAsia"/>
                <w:color w:val="auto"/>
              </w:rPr>
              <w:t>产业园区环境应急救援物资配备</w:t>
            </w:r>
            <w:r>
              <w:rPr>
                <w:rFonts w:hint="eastAsia"/>
                <w:color w:val="auto"/>
                <w:lang w:val="en-US" w:eastAsia="zh-CN"/>
              </w:rPr>
              <w:t>基本</w:t>
            </w:r>
            <w:r>
              <w:rPr>
                <w:rFonts w:hint="eastAsia"/>
                <w:color w:val="auto"/>
              </w:rPr>
              <w:t>符合规定</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2</w:t>
            </w:r>
            <w:r>
              <w:rPr>
                <w:color w:val="auto"/>
              </w:rPr>
              <w:t>1</w:t>
            </w:r>
          </w:p>
        </w:tc>
        <w:tc>
          <w:tcPr>
            <w:tcW w:w="851" w:type="dxa"/>
            <w:vMerge w:val="continue"/>
            <w:shd w:val="clear" w:color="auto" w:fill="auto"/>
            <w:noWrap w:val="0"/>
            <w:vAlign w:val="center"/>
          </w:tcPr>
          <w:p>
            <w:pPr>
              <w:pStyle w:val="40"/>
              <w:rPr>
                <w:color w:val="auto"/>
              </w:rPr>
            </w:pPr>
          </w:p>
        </w:tc>
        <w:tc>
          <w:tcPr>
            <w:tcW w:w="1275" w:type="dxa"/>
            <w:vMerge w:val="restart"/>
            <w:shd w:val="clear" w:color="auto" w:fill="auto"/>
            <w:noWrap w:val="0"/>
            <w:vAlign w:val="center"/>
          </w:tcPr>
          <w:p>
            <w:pPr>
              <w:pStyle w:val="40"/>
              <w:rPr>
                <w:color w:val="auto"/>
              </w:rPr>
            </w:pPr>
            <w:r>
              <w:rPr>
                <w:rFonts w:hint="eastAsia"/>
                <w:color w:val="auto"/>
              </w:rPr>
              <w:t>风险防控体系</w:t>
            </w:r>
          </w:p>
        </w:tc>
        <w:tc>
          <w:tcPr>
            <w:tcW w:w="4923" w:type="dxa"/>
            <w:shd w:val="clear" w:color="auto" w:fill="auto"/>
            <w:noWrap w:val="0"/>
            <w:vAlign w:val="center"/>
          </w:tcPr>
          <w:p>
            <w:pPr>
              <w:pStyle w:val="40"/>
              <w:rPr>
                <w:color w:val="auto"/>
              </w:rPr>
            </w:pPr>
            <w:r>
              <w:rPr>
                <w:rFonts w:hint="eastAsia"/>
                <w:color w:val="auto"/>
              </w:rPr>
              <w:t>产业园区未建立环境风险源数据库，未落实各项风险防范措施</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rPr>
                <w:rFonts w:hint="default"/>
                <w:color w:val="auto"/>
                <w:lang w:val="en-US" w:eastAsia="zh-CN"/>
              </w:rPr>
            </w:pPr>
            <w:r>
              <w:rPr>
                <w:rFonts w:ascii="Times New Roman" w:hAnsi="Times New Roman" w:cs="Times New Roman" w:eastAsiaTheme="minorEastAsia"/>
                <w:color w:val="auto"/>
                <w:sz w:val="21"/>
                <w:szCs w:val="21"/>
              </w:rPr>
              <w:t>园区已落实各项风险防范措施</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2</w:t>
            </w:r>
            <w:r>
              <w:rPr>
                <w:color w:val="auto"/>
              </w:rPr>
              <w:t>2</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产业园区发生重特大环境污染事件或存在被省级以上环境主管部门通报的突出环境安全隐患</w:t>
            </w:r>
          </w:p>
        </w:tc>
        <w:tc>
          <w:tcPr>
            <w:tcW w:w="889" w:type="dxa"/>
            <w:shd w:val="clear" w:color="auto" w:fill="auto"/>
            <w:noWrap w:val="0"/>
            <w:vAlign w:val="center"/>
          </w:tcPr>
          <w:p>
            <w:pPr>
              <w:pStyle w:val="40"/>
              <w:rPr>
                <w:color w:val="auto"/>
              </w:rPr>
            </w:pPr>
            <w:r>
              <w:rPr>
                <w:rFonts w:hint="eastAsia"/>
                <w:color w:val="auto"/>
              </w:rPr>
              <w:t>-4</w:t>
            </w:r>
          </w:p>
        </w:tc>
        <w:tc>
          <w:tcPr>
            <w:tcW w:w="4923" w:type="dxa"/>
            <w:shd w:val="clear" w:color="auto" w:fill="auto"/>
            <w:noWrap w:val="0"/>
            <w:vAlign w:val="center"/>
          </w:tcPr>
          <w:p>
            <w:pPr>
              <w:pStyle w:val="40"/>
              <w:rPr>
                <w:rFonts w:hint="default"/>
                <w:color w:val="auto"/>
                <w:lang w:val="en-US" w:eastAsia="zh-CN"/>
              </w:rPr>
            </w:pPr>
            <w:r>
              <w:rPr>
                <w:rFonts w:hint="eastAsia"/>
                <w:color w:val="auto"/>
                <w:lang w:eastAsia="zh-CN"/>
              </w:rPr>
              <w:t>未发生</w:t>
            </w:r>
            <w:r>
              <w:rPr>
                <w:rFonts w:hint="eastAsia"/>
                <w:color w:val="auto"/>
              </w:rPr>
              <w:t>突出环境安全隐患</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shd w:val="clear" w:color="auto" w:fill="auto"/>
            <w:noWrap w:val="0"/>
            <w:vAlign w:val="center"/>
          </w:tcPr>
          <w:p>
            <w:pPr>
              <w:pStyle w:val="40"/>
              <w:rPr>
                <w:color w:val="auto"/>
              </w:rPr>
            </w:pPr>
            <w:r>
              <w:rPr>
                <w:rFonts w:hint="eastAsia"/>
                <w:color w:val="auto"/>
              </w:rPr>
              <w:t>2</w:t>
            </w:r>
            <w:r>
              <w:rPr>
                <w:color w:val="auto"/>
              </w:rPr>
              <w:t>3</w:t>
            </w:r>
          </w:p>
        </w:tc>
        <w:tc>
          <w:tcPr>
            <w:tcW w:w="851" w:type="dxa"/>
            <w:vMerge w:val="continue"/>
            <w:shd w:val="clear" w:color="auto" w:fill="auto"/>
            <w:noWrap w:val="0"/>
            <w:vAlign w:val="center"/>
          </w:tcPr>
          <w:p>
            <w:pPr>
              <w:pStyle w:val="40"/>
              <w:rPr>
                <w:color w:val="auto"/>
              </w:rPr>
            </w:pPr>
          </w:p>
        </w:tc>
        <w:tc>
          <w:tcPr>
            <w:tcW w:w="1275" w:type="dxa"/>
            <w:vMerge w:val="continue"/>
            <w:shd w:val="clear" w:color="auto" w:fill="auto"/>
            <w:noWrap w:val="0"/>
            <w:vAlign w:val="center"/>
          </w:tcPr>
          <w:p>
            <w:pPr>
              <w:pStyle w:val="40"/>
              <w:rPr>
                <w:color w:val="auto"/>
              </w:rPr>
            </w:pPr>
          </w:p>
        </w:tc>
        <w:tc>
          <w:tcPr>
            <w:tcW w:w="4923" w:type="dxa"/>
            <w:shd w:val="clear" w:color="auto" w:fill="auto"/>
            <w:noWrap w:val="0"/>
            <w:vAlign w:val="center"/>
          </w:tcPr>
          <w:p>
            <w:pPr>
              <w:pStyle w:val="40"/>
              <w:rPr>
                <w:color w:val="auto"/>
              </w:rPr>
            </w:pPr>
            <w:r>
              <w:rPr>
                <w:rFonts w:hint="eastAsia"/>
                <w:color w:val="auto"/>
              </w:rPr>
              <w:t>产业园区出现区域限批、挂牌督办、约谈、中央及省级环保督察反馈问题整改不力等情况</w:t>
            </w:r>
          </w:p>
        </w:tc>
        <w:tc>
          <w:tcPr>
            <w:tcW w:w="889" w:type="dxa"/>
            <w:shd w:val="clear" w:color="auto" w:fill="auto"/>
            <w:noWrap w:val="0"/>
            <w:vAlign w:val="center"/>
          </w:tcPr>
          <w:p>
            <w:pPr>
              <w:pStyle w:val="40"/>
              <w:rPr>
                <w:color w:val="auto"/>
              </w:rPr>
            </w:pPr>
            <w:r>
              <w:rPr>
                <w:rFonts w:hint="eastAsia"/>
                <w:color w:val="auto"/>
              </w:rPr>
              <w:t>-3</w:t>
            </w:r>
          </w:p>
        </w:tc>
        <w:tc>
          <w:tcPr>
            <w:tcW w:w="4923" w:type="dxa"/>
            <w:shd w:val="clear" w:color="auto" w:fill="auto"/>
            <w:noWrap w:val="0"/>
            <w:vAlign w:val="center"/>
          </w:tcPr>
          <w:p>
            <w:pPr>
              <w:pStyle w:val="40"/>
              <w:rPr>
                <w:rFonts w:hint="default" w:eastAsia="宋体"/>
                <w:color w:val="auto"/>
                <w:lang w:val="en-US" w:eastAsia="zh-CN"/>
              </w:rPr>
            </w:pPr>
            <w:r>
              <w:rPr>
                <w:rFonts w:hint="eastAsia"/>
                <w:color w:val="auto"/>
                <w:lang w:val="en-US" w:eastAsia="zh-CN"/>
              </w:rPr>
              <w:t>园区已按要求完成了2020年</w:t>
            </w:r>
            <w:r>
              <w:rPr>
                <w:rFonts w:hint="eastAsia"/>
                <w:color w:val="auto"/>
              </w:rPr>
              <w:t>省级环保督察</w:t>
            </w:r>
            <w:r>
              <w:rPr>
                <w:rFonts w:hint="eastAsia"/>
                <w:color w:val="auto"/>
                <w:lang w:eastAsia="zh-CN"/>
              </w:rPr>
              <w:t>“</w:t>
            </w:r>
            <w:r>
              <w:rPr>
                <w:rFonts w:hint="eastAsia"/>
                <w:color w:val="auto"/>
                <w:lang w:val="en-US" w:eastAsia="zh-CN"/>
              </w:rPr>
              <w:t>回头看</w:t>
            </w:r>
            <w:r>
              <w:rPr>
                <w:rFonts w:hint="eastAsia"/>
                <w:color w:val="auto"/>
                <w:lang w:eastAsia="zh-CN"/>
              </w:rPr>
              <w:t>”</w:t>
            </w:r>
            <w:r>
              <w:rPr>
                <w:rFonts w:hint="eastAsia"/>
                <w:color w:val="auto"/>
              </w:rPr>
              <w:t>反馈问题整改</w:t>
            </w:r>
            <w:r>
              <w:rPr>
                <w:rFonts w:hint="eastAsia"/>
                <w:color w:val="auto"/>
                <w:lang w:val="en-US" w:eastAsia="zh-CN"/>
              </w:rPr>
              <w:t>销号工作</w:t>
            </w:r>
          </w:p>
        </w:tc>
        <w:tc>
          <w:tcPr>
            <w:tcW w:w="889" w:type="dxa"/>
            <w:shd w:val="clear" w:color="auto" w:fill="auto"/>
            <w:noWrap w:val="0"/>
            <w:vAlign w:val="center"/>
          </w:tcPr>
          <w:p>
            <w:pPr>
              <w:pStyle w:val="40"/>
              <w:rPr>
                <w:color w:val="auto"/>
              </w:rPr>
            </w:pPr>
            <w:r>
              <w:rPr>
                <w:rFonts w:hint="eastAsia"/>
                <w:color w:val="auto"/>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49" w:type="dxa"/>
            <w:shd w:val="clear" w:color="auto" w:fill="auto"/>
            <w:noWrap w:val="0"/>
            <w:vAlign w:val="center"/>
          </w:tcPr>
          <w:p>
            <w:pPr>
              <w:pStyle w:val="40"/>
              <w:rPr>
                <w:color w:val="auto"/>
              </w:rPr>
            </w:pPr>
            <w:r>
              <w:rPr>
                <w:rFonts w:hint="eastAsia"/>
                <w:color w:val="auto"/>
              </w:rPr>
              <w:t>2</w:t>
            </w:r>
            <w:r>
              <w:rPr>
                <w:color w:val="auto"/>
              </w:rPr>
              <w:t>4</w:t>
            </w:r>
          </w:p>
        </w:tc>
        <w:tc>
          <w:tcPr>
            <w:tcW w:w="851" w:type="dxa"/>
            <w:shd w:val="clear" w:color="auto" w:fill="auto"/>
            <w:noWrap w:val="0"/>
            <w:vAlign w:val="center"/>
          </w:tcPr>
          <w:p>
            <w:pPr>
              <w:pStyle w:val="40"/>
              <w:rPr>
                <w:color w:val="auto"/>
              </w:rPr>
            </w:pPr>
            <w:r>
              <w:rPr>
                <w:rFonts w:hint="eastAsia"/>
                <w:color w:val="auto"/>
              </w:rPr>
              <w:t>环境综合治理</w:t>
            </w:r>
          </w:p>
        </w:tc>
        <w:tc>
          <w:tcPr>
            <w:tcW w:w="1275" w:type="dxa"/>
            <w:shd w:val="clear" w:color="auto" w:fill="auto"/>
            <w:noWrap w:val="0"/>
            <w:vAlign w:val="center"/>
          </w:tcPr>
          <w:p>
            <w:pPr>
              <w:pStyle w:val="40"/>
              <w:rPr>
                <w:color w:val="auto"/>
              </w:rPr>
            </w:pPr>
            <w:r>
              <w:rPr>
                <w:rFonts w:hint="eastAsia"/>
                <w:color w:val="auto"/>
              </w:rPr>
              <w:t>环境第三方治理服务</w:t>
            </w:r>
          </w:p>
        </w:tc>
        <w:tc>
          <w:tcPr>
            <w:tcW w:w="4923" w:type="dxa"/>
            <w:shd w:val="clear" w:color="auto" w:fill="auto"/>
            <w:noWrap w:val="0"/>
            <w:vAlign w:val="center"/>
          </w:tcPr>
          <w:p>
            <w:pPr>
              <w:pStyle w:val="40"/>
              <w:rPr>
                <w:color w:val="auto"/>
              </w:rPr>
            </w:pPr>
            <w:r>
              <w:rPr>
                <w:rFonts w:hint="eastAsia"/>
                <w:color w:val="auto"/>
              </w:rPr>
              <w:t>采取了第三方治理服务模式</w:t>
            </w:r>
          </w:p>
        </w:tc>
        <w:tc>
          <w:tcPr>
            <w:tcW w:w="889" w:type="dxa"/>
            <w:shd w:val="clear" w:color="auto" w:fill="auto"/>
            <w:noWrap w:val="0"/>
            <w:vAlign w:val="center"/>
          </w:tcPr>
          <w:p>
            <w:pPr>
              <w:pStyle w:val="40"/>
              <w:rPr>
                <w:color w:val="auto"/>
              </w:rPr>
            </w:pPr>
            <w:r>
              <w:rPr>
                <w:rFonts w:hint="eastAsia"/>
                <w:color w:val="auto"/>
              </w:rPr>
              <w:t>+1</w:t>
            </w:r>
          </w:p>
        </w:tc>
        <w:tc>
          <w:tcPr>
            <w:tcW w:w="4923" w:type="dxa"/>
            <w:shd w:val="clear" w:color="auto" w:fill="auto"/>
            <w:noWrap w:val="0"/>
            <w:vAlign w:val="center"/>
          </w:tcPr>
          <w:p>
            <w:pPr>
              <w:pStyle w:val="40"/>
              <w:keepNext/>
              <w:keepLines/>
              <w:pageBreakBefore w:val="0"/>
              <w:widowControl w:val="0"/>
              <w:kinsoku/>
              <w:wordWrap w:val="0"/>
              <w:overflowPunct/>
              <w:topLinePunct w:val="0"/>
              <w:autoSpaceDE/>
              <w:autoSpaceDN/>
              <w:bidi w:val="0"/>
              <w:adjustRightInd/>
              <w:snapToGrid/>
              <w:spacing w:line="440" w:lineRule="exact"/>
              <w:textAlignment w:val="auto"/>
              <w:rPr>
                <w:rFonts w:hint="default"/>
                <w:color w:val="auto"/>
                <w:lang w:val="en-US" w:eastAsia="zh-CN"/>
              </w:rPr>
            </w:pPr>
            <w:r>
              <w:rPr>
                <w:rFonts w:hint="eastAsia"/>
                <w:color w:val="auto"/>
                <w:lang w:val="en-US" w:eastAsia="zh-CN"/>
              </w:rPr>
              <w:t>委托了专业的第三方运维公司运维园区污水处理站及在线监控系统，并根据</w:t>
            </w:r>
            <w:r>
              <w:rPr>
                <w:rFonts w:hint="eastAsia" w:ascii="Times New Roman" w:hAnsi="Times New Roman" w:eastAsia="宋体" w:cs="Times New Roman"/>
                <w:color w:val="auto"/>
                <w:lang w:val="en-US" w:eastAsia="zh-CN"/>
              </w:rPr>
              <w:t>《湖南省生态环境厅、湖南省发展与改革微会员关于深入推进园区环境污染第三方治理的通知》（湘环发[2021]31号文件要求积极推进园区环境第三方治理工作</w:t>
            </w:r>
          </w:p>
        </w:tc>
        <w:tc>
          <w:tcPr>
            <w:tcW w:w="889" w:type="dxa"/>
            <w:shd w:val="clear" w:color="auto" w:fill="auto"/>
            <w:noWrap w:val="0"/>
            <w:vAlign w:val="center"/>
          </w:tcPr>
          <w:p>
            <w:pPr>
              <w:pStyle w:val="40"/>
              <w:rPr>
                <w:color w:val="auto"/>
              </w:rPr>
            </w:pPr>
            <w:r>
              <w:rPr>
                <w:rFonts w:hint="eastAsia"/>
                <w:color w:val="auto"/>
              </w:rPr>
              <w:t>+</w:t>
            </w:r>
            <w:r>
              <w:rPr>
                <w:color w:val="auto"/>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199" w:type="dxa"/>
            <w:gridSpan w:val="7"/>
            <w:shd w:val="clear" w:color="auto" w:fill="auto"/>
            <w:noWrap w:val="0"/>
            <w:vAlign w:val="center"/>
          </w:tcPr>
          <w:p>
            <w:pPr>
              <w:pStyle w:val="40"/>
              <w:jc w:val="left"/>
              <w:rPr>
                <w:color w:val="auto"/>
              </w:rPr>
            </w:pPr>
            <w:r>
              <w:rPr>
                <w:rFonts w:hint="eastAsia"/>
                <w:color w:val="auto"/>
              </w:rPr>
              <w:t>说明：</w:t>
            </w:r>
          </w:p>
          <w:p>
            <w:pPr>
              <w:pStyle w:val="40"/>
              <w:jc w:val="left"/>
              <w:rPr>
                <w:color w:val="auto"/>
              </w:rPr>
            </w:pPr>
            <w:r>
              <w:rPr>
                <w:rFonts w:hint="eastAsia"/>
                <w:color w:val="auto"/>
              </w:rPr>
              <w:t>一、初始分值为9分，满分12分。</w:t>
            </w:r>
          </w:p>
          <w:p>
            <w:pPr>
              <w:pStyle w:val="40"/>
              <w:jc w:val="left"/>
              <w:rPr>
                <w:color w:val="auto"/>
              </w:rPr>
            </w:pPr>
            <w:r>
              <w:rPr>
                <w:rFonts w:hint="eastAsia"/>
                <w:color w:val="auto"/>
              </w:rPr>
              <w:t>二、产业园区未及时按照要求上报自查报告，直接评定为环保风险园区。若自查报告中未上报某项指标内容的，此项指标按最高分进行扣分。</w:t>
            </w:r>
          </w:p>
        </w:tc>
      </w:tr>
    </w:tbl>
    <w:p>
      <w:pPr>
        <w:pStyle w:val="38"/>
        <w:spacing w:before="156" w:beforeLines="50"/>
        <w:rPr>
          <w:color w:val="auto"/>
          <w:sz w:val="24"/>
          <w:szCs w:val="22"/>
        </w:rPr>
      </w:pPr>
      <w:r>
        <w:rPr>
          <w:rFonts w:hint="eastAsia"/>
          <w:color w:val="auto"/>
          <w:sz w:val="24"/>
          <w:szCs w:val="22"/>
        </w:rPr>
        <w:t>通过对我园区</w:t>
      </w:r>
      <w:r>
        <w:rPr>
          <w:rFonts w:hint="eastAsia"/>
          <w:color w:val="auto"/>
          <w:sz w:val="24"/>
          <w:szCs w:val="22"/>
          <w:lang w:eastAsia="zh-CN"/>
        </w:rPr>
        <w:t>2021年</w:t>
      </w:r>
      <w:r>
        <w:rPr>
          <w:rFonts w:hint="eastAsia"/>
          <w:color w:val="auto"/>
          <w:sz w:val="24"/>
          <w:szCs w:val="22"/>
          <w:lang w:val="en-US" w:eastAsia="zh-CN"/>
        </w:rPr>
        <w:t>度</w:t>
      </w:r>
      <w:r>
        <w:rPr>
          <w:rFonts w:hint="eastAsia"/>
          <w:color w:val="auto"/>
          <w:sz w:val="24"/>
          <w:szCs w:val="22"/>
        </w:rPr>
        <w:t>的环保</w:t>
      </w:r>
      <w:r>
        <w:rPr>
          <w:rFonts w:hint="eastAsia"/>
          <w:color w:val="auto"/>
          <w:sz w:val="24"/>
          <w:szCs w:val="22"/>
          <w:lang w:val="en-US" w:eastAsia="zh-CN"/>
        </w:rPr>
        <w:t>信用</w:t>
      </w:r>
      <w:r>
        <w:rPr>
          <w:rFonts w:hint="eastAsia"/>
          <w:color w:val="auto"/>
          <w:sz w:val="24"/>
          <w:szCs w:val="22"/>
        </w:rPr>
        <w:t>工作进行自我评估，园区评估结果为</w:t>
      </w:r>
      <w:r>
        <w:rPr>
          <w:rFonts w:hint="eastAsia"/>
          <w:color w:val="auto"/>
          <w:sz w:val="24"/>
          <w:szCs w:val="22"/>
          <w:lang w:val="en-US" w:eastAsia="zh-CN"/>
        </w:rPr>
        <w:t>9</w:t>
      </w:r>
      <w:r>
        <w:rPr>
          <w:rFonts w:hint="eastAsia"/>
          <w:color w:val="auto"/>
          <w:sz w:val="24"/>
          <w:szCs w:val="22"/>
        </w:rPr>
        <w:t>分，属于环保合格园区。</w:t>
      </w:r>
    </w:p>
    <w:p>
      <w:pPr>
        <w:rPr>
          <w:rFonts w:hint="eastAsia"/>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7"/>
        <w:snapToGrid w:val="0"/>
        <w:spacing w:after="0" w:line="360" w:lineRule="auto"/>
        <w:ind w:left="0" w:leftChars="0" w:firstLine="562"/>
        <w:outlineLvl w:val="1"/>
        <w:rPr>
          <w:rFonts w:hint="default" w:ascii="Times New Roman" w:hAnsi="Times New Roman" w:eastAsiaTheme="minorEastAsia"/>
          <w:b/>
          <w:color w:val="auto"/>
          <w:sz w:val="28"/>
          <w:szCs w:val="32"/>
          <w:lang w:val="en-US" w:eastAsia="zh-CN"/>
        </w:rPr>
      </w:pPr>
      <w:bookmarkStart w:id="21" w:name="_Toc68103685"/>
      <w:r>
        <w:rPr>
          <w:rFonts w:ascii="Times New Roman" w:hAnsi="Times New Roman" w:eastAsiaTheme="minorEastAsia"/>
          <w:b/>
          <w:color w:val="auto"/>
          <w:sz w:val="28"/>
          <w:szCs w:val="32"/>
        </w:rPr>
        <w:t>（</w:t>
      </w:r>
      <w:r>
        <w:rPr>
          <w:rFonts w:hint="eastAsia" w:ascii="Times New Roman" w:hAnsi="Times New Roman" w:eastAsiaTheme="minorEastAsia"/>
          <w:b/>
          <w:color w:val="auto"/>
          <w:sz w:val="28"/>
          <w:szCs w:val="32"/>
          <w:lang w:val="en-US" w:eastAsia="zh-CN"/>
        </w:rPr>
        <w:t>九</w:t>
      </w:r>
      <w:r>
        <w:rPr>
          <w:rFonts w:ascii="Times New Roman" w:hAnsi="Times New Roman" w:eastAsiaTheme="minorEastAsia"/>
          <w:b/>
          <w:color w:val="auto"/>
          <w:sz w:val="28"/>
          <w:szCs w:val="32"/>
        </w:rPr>
        <w:t>）</w:t>
      </w:r>
      <w:r>
        <w:rPr>
          <w:rFonts w:hint="eastAsia" w:ascii="Times New Roman" w:hAnsi="Times New Roman" w:eastAsiaTheme="minorEastAsia"/>
          <w:b/>
          <w:color w:val="auto"/>
          <w:sz w:val="28"/>
          <w:szCs w:val="32"/>
          <w:lang w:val="en-US" w:eastAsia="zh-CN"/>
        </w:rPr>
        <w:t>环境风险管理</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562" w:firstLineChars="200"/>
        <w:jc w:val="both"/>
        <w:textAlignment w:val="auto"/>
        <w:outlineLvl w:val="9"/>
        <w:rPr>
          <w:rFonts w:hint="eastAsia" w:ascii="Times New Roman" w:hAnsi="Times New Roman" w:eastAsia="宋体" w:cs="Times New Roman"/>
          <w:b/>
          <w:bCs/>
          <w:color w:val="auto"/>
          <w:sz w:val="28"/>
          <w:szCs w:val="22"/>
          <w:lang w:val="en-US" w:eastAsia="zh-CN"/>
        </w:rPr>
      </w:pPr>
      <w:r>
        <w:rPr>
          <w:rFonts w:hint="eastAsia" w:ascii="Times New Roman" w:hAnsi="Times New Roman" w:cs="Times New Roman"/>
          <w:b/>
          <w:bCs/>
          <w:color w:val="auto"/>
          <w:sz w:val="28"/>
          <w:szCs w:val="22"/>
          <w:lang w:val="en-US" w:eastAsia="zh-CN"/>
        </w:rPr>
        <w:t>9</w:t>
      </w:r>
      <w:r>
        <w:rPr>
          <w:rFonts w:hint="default" w:ascii="Times New Roman" w:hAnsi="Times New Roman" w:eastAsia="宋体" w:cs="Times New Roman"/>
          <w:b/>
          <w:bCs/>
          <w:color w:val="auto"/>
          <w:sz w:val="28"/>
          <w:szCs w:val="22"/>
          <w:lang w:val="en-US" w:eastAsia="zh-CN"/>
        </w:rPr>
        <w:t>.1</w:t>
      </w:r>
      <w:r>
        <w:rPr>
          <w:rFonts w:hint="eastAsia" w:ascii="Times New Roman" w:hAnsi="Times New Roman" w:eastAsia="宋体" w:cs="Times New Roman"/>
          <w:b/>
          <w:bCs/>
          <w:color w:val="auto"/>
          <w:sz w:val="28"/>
          <w:szCs w:val="22"/>
          <w:lang w:val="en-US" w:eastAsia="zh-CN"/>
        </w:rPr>
        <w:t>环评及批复文件中环境风险防控措施的落实情况。</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560" w:firstLineChars="200"/>
        <w:jc w:val="both"/>
        <w:textAlignment w:val="auto"/>
        <w:outlineLvl w:val="9"/>
        <w:rPr>
          <w:rFonts w:hint="eastAsia" w:ascii="仿宋" w:hAnsi="仿宋" w:eastAsia="仿宋" w:cs="仿宋"/>
          <w:color w:val="auto"/>
          <w:kern w:val="2"/>
          <w:sz w:val="32"/>
          <w:szCs w:val="32"/>
          <w:lang w:val="en-US" w:eastAsia="zh-CN"/>
        </w:rPr>
      </w:pPr>
      <w:r>
        <w:rPr>
          <w:rFonts w:hint="eastAsia" w:ascii="Times New Roman" w:hAnsi="Times New Roman" w:cs="Times New Roman"/>
          <w:color w:val="auto"/>
          <w:kern w:val="2"/>
          <w:sz w:val="28"/>
          <w:szCs w:val="28"/>
          <w:lang w:val="en-US" w:eastAsia="zh-CN" w:bidi="ar-SA"/>
        </w:rPr>
        <w:t>沅陵产业开发区</w:t>
      </w:r>
      <w:r>
        <w:rPr>
          <w:rFonts w:hint="eastAsia" w:ascii="Times New Roman" w:hAnsi="Times New Roman" w:eastAsia="宋体" w:cs="Times New Roman"/>
          <w:color w:val="auto"/>
          <w:kern w:val="2"/>
          <w:sz w:val="28"/>
          <w:szCs w:val="28"/>
          <w:lang w:val="en-US" w:eastAsia="zh-CN" w:bidi="ar-SA"/>
        </w:rPr>
        <w:t>严格对照园区环评批复中的风险防控措施的要求开展了自查，环评批复中要求的风险防控措施基本落实到位，详见表</w:t>
      </w:r>
      <w:r>
        <w:rPr>
          <w:rFonts w:hint="eastAsia" w:ascii="Times New Roman" w:hAnsi="Times New Roman" w:cs="Times New Roman"/>
          <w:color w:val="auto"/>
          <w:kern w:val="2"/>
          <w:sz w:val="28"/>
          <w:szCs w:val="28"/>
          <w:lang w:val="en-US" w:eastAsia="zh-CN" w:bidi="ar-SA"/>
        </w:rPr>
        <w:t>1</w:t>
      </w:r>
      <w:r>
        <w:rPr>
          <w:rFonts w:hint="eastAsia" w:ascii="Times New Roman" w:hAnsi="Times New Roman" w:eastAsia="宋体" w:cs="Times New Roman"/>
          <w:color w:val="auto"/>
          <w:kern w:val="2"/>
          <w:sz w:val="28"/>
          <w:szCs w:val="28"/>
          <w:lang w:val="en-US" w:eastAsia="zh-CN" w:bidi="ar-SA"/>
        </w:rPr>
        <w:t>《</w:t>
      </w:r>
      <w:r>
        <w:rPr>
          <w:rFonts w:hint="eastAsia" w:ascii="Times New Roman" w:hAnsi="Times New Roman" w:cs="Times New Roman"/>
          <w:color w:val="auto"/>
          <w:kern w:val="2"/>
          <w:sz w:val="28"/>
          <w:szCs w:val="28"/>
          <w:lang w:val="en-US" w:eastAsia="zh-CN" w:bidi="ar-SA"/>
        </w:rPr>
        <w:t>沅陵产业开发区</w:t>
      </w:r>
      <w:r>
        <w:rPr>
          <w:rFonts w:hint="eastAsia" w:ascii="Times New Roman" w:hAnsi="Times New Roman"/>
          <w:color w:val="auto"/>
          <w:sz w:val="28"/>
        </w:rPr>
        <w:t>（</w:t>
      </w:r>
      <w:r>
        <w:rPr>
          <w:rFonts w:ascii="Times New Roman" w:hAnsi="Times New Roman" w:eastAsiaTheme="minorEastAsia"/>
          <w:color w:val="auto"/>
          <w:sz w:val="28"/>
          <w:szCs w:val="28"/>
        </w:rPr>
        <w:t>湘环评〔201</w:t>
      </w:r>
      <w:r>
        <w:rPr>
          <w:rFonts w:hint="eastAsia" w:ascii="Times New Roman" w:hAnsi="Times New Roman" w:eastAsiaTheme="minorEastAsia"/>
          <w:color w:val="auto"/>
          <w:sz w:val="28"/>
          <w:szCs w:val="28"/>
          <w:lang w:val="en-US" w:eastAsia="zh-CN"/>
        </w:rPr>
        <w:t>1</w:t>
      </w:r>
      <w:r>
        <w:rPr>
          <w:rFonts w:ascii="Times New Roman" w:hAnsi="Times New Roman" w:eastAsiaTheme="minorEastAsia"/>
          <w:color w:val="auto"/>
          <w:sz w:val="28"/>
          <w:szCs w:val="28"/>
        </w:rPr>
        <w:t>〕</w:t>
      </w:r>
      <w:r>
        <w:rPr>
          <w:rFonts w:hint="eastAsia" w:ascii="Times New Roman" w:hAnsi="Times New Roman" w:eastAsiaTheme="minorEastAsia"/>
          <w:color w:val="auto"/>
          <w:sz w:val="28"/>
          <w:szCs w:val="28"/>
          <w:lang w:val="en-US" w:eastAsia="zh-CN"/>
        </w:rPr>
        <w:t>5</w:t>
      </w:r>
      <w:r>
        <w:rPr>
          <w:rFonts w:ascii="Times New Roman" w:hAnsi="Times New Roman" w:eastAsiaTheme="minorEastAsia"/>
          <w:color w:val="auto"/>
          <w:sz w:val="28"/>
          <w:szCs w:val="28"/>
        </w:rPr>
        <w:t>号））</w:t>
      </w:r>
      <w:r>
        <w:rPr>
          <w:rFonts w:hint="eastAsia" w:ascii="Times New Roman" w:hAnsi="Times New Roman" w:eastAsia="宋体" w:cs="Times New Roman"/>
          <w:color w:val="auto"/>
          <w:kern w:val="2"/>
          <w:sz w:val="28"/>
          <w:szCs w:val="28"/>
          <w:lang w:val="en-US" w:eastAsia="zh-CN" w:bidi="ar-SA"/>
        </w:rPr>
        <w:t>批复落实情况》</w:t>
      </w:r>
      <w:r>
        <w:rPr>
          <w:rFonts w:hint="eastAsia" w:ascii="仿宋" w:hAnsi="仿宋" w:eastAsia="仿宋" w:cs="仿宋"/>
          <w:color w:val="auto"/>
          <w:kern w:val="2"/>
          <w:sz w:val="32"/>
          <w:szCs w:val="32"/>
          <w:lang w:val="en-US" w:eastAsia="zh-CN"/>
        </w:rPr>
        <w:t>。</w:t>
      </w:r>
    </w:p>
    <w:p>
      <w:pPr>
        <w:pStyle w:val="48"/>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2"/>
        <w:rPr>
          <w:rFonts w:hint="eastAsia" w:ascii="Times New Roman" w:hAnsi="Times New Roman" w:eastAsia="宋体" w:cs="Times New Roman"/>
          <w:b/>
          <w:bCs/>
          <w:color w:val="auto"/>
          <w:kern w:val="2"/>
          <w:sz w:val="28"/>
          <w:szCs w:val="22"/>
          <w:lang w:val="en-US" w:eastAsia="zh-CN" w:bidi="ar-SA"/>
        </w:rPr>
      </w:pPr>
      <w:bookmarkStart w:id="22" w:name="_Toc1342"/>
      <w:r>
        <w:rPr>
          <w:rFonts w:hint="eastAsia" w:ascii="Times New Roman" w:hAnsi="Times New Roman" w:eastAsia="宋体" w:cs="Times New Roman"/>
          <w:b/>
          <w:bCs/>
          <w:color w:val="auto"/>
          <w:kern w:val="2"/>
          <w:sz w:val="28"/>
          <w:szCs w:val="22"/>
          <w:lang w:val="en-US" w:eastAsia="zh-CN" w:bidi="ar-SA"/>
        </w:rPr>
        <w:t>9.2</w:t>
      </w:r>
      <w:r>
        <w:rPr>
          <w:rFonts w:hint="default" w:ascii="Times New Roman" w:hAnsi="Times New Roman" w:eastAsia="宋体" w:cs="Times New Roman"/>
          <w:b/>
          <w:bCs/>
          <w:color w:val="auto"/>
          <w:kern w:val="2"/>
          <w:sz w:val="28"/>
          <w:szCs w:val="22"/>
          <w:lang w:val="en-US" w:eastAsia="zh-CN" w:bidi="ar-SA"/>
        </w:rPr>
        <w:t>环境应急保障能力建设</w:t>
      </w:r>
      <w:bookmarkEnd w:id="22"/>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（1）突发环境事件应急预案编制备案情况</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 xml:space="preserve">2019年3月，园区组织编制了《沅陵县工业集中区突发环境事件应急预案》，并分别于 </w:t>
      </w:r>
      <w:r>
        <w:rPr>
          <w:rFonts w:hint="default" w:ascii="Times New Roman" w:hAnsi="Times New Roman" w:eastAsia="宋体" w:cs="Times New Roman"/>
          <w:color w:val="auto"/>
          <w:kern w:val="2"/>
          <w:sz w:val="28"/>
          <w:szCs w:val="28"/>
          <w:lang w:val="en-US" w:eastAsia="zh-CN" w:bidi="ar-SA"/>
        </w:rPr>
        <w:t xml:space="preserve">2019 </w:t>
      </w:r>
      <w:r>
        <w:rPr>
          <w:rFonts w:hint="eastAsia" w:ascii="Times New Roman" w:hAnsi="Times New Roman" w:eastAsia="宋体" w:cs="Times New Roman"/>
          <w:color w:val="auto"/>
          <w:kern w:val="2"/>
          <w:sz w:val="28"/>
          <w:szCs w:val="28"/>
          <w:lang w:val="en-US" w:eastAsia="zh-CN" w:bidi="ar-SA"/>
        </w:rPr>
        <w:t xml:space="preserve">年 </w:t>
      </w:r>
      <w:r>
        <w:rPr>
          <w:rFonts w:hint="default" w:ascii="Times New Roman" w:hAnsi="Times New Roman" w:eastAsia="宋体" w:cs="Times New Roman"/>
          <w:color w:val="auto"/>
          <w:kern w:val="2"/>
          <w:sz w:val="28"/>
          <w:szCs w:val="28"/>
          <w:lang w:val="en-US" w:eastAsia="zh-CN" w:bidi="ar-SA"/>
        </w:rPr>
        <w:t xml:space="preserve">4 </w:t>
      </w:r>
      <w:r>
        <w:rPr>
          <w:rFonts w:hint="eastAsia" w:ascii="Times New Roman" w:hAnsi="Times New Roman" w:eastAsia="宋体" w:cs="Times New Roman"/>
          <w:color w:val="auto"/>
          <w:kern w:val="2"/>
          <w:sz w:val="28"/>
          <w:szCs w:val="28"/>
          <w:lang w:val="en-US" w:eastAsia="zh-CN" w:bidi="ar-SA"/>
        </w:rPr>
        <w:t>月在怀化市生态环境局沅陵分局备案（备案编号为</w:t>
      </w:r>
      <w:r>
        <w:rPr>
          <w:rFonts w:hint="default" w:ascii="Times New Roman" w:hAnsi="Times New Roman" w:eastAsia="宋体" w:cs="Times New Roman"/>
          <w:color w:val="auto"/>
          <w:kern w:val="2"/>
          <w:sz w:val="28"/>
          <w:szCs w:val="28"/>
          <w:lang w:val="en-US" w:eastAsia="zh-CN" w:bidi="ar-SA"/>
        </w:rPr>
        <w:t>431222-2019-001-L</w:t>
      </w:r>
      <w:r>
        <w:rPr>
          <w:rFonts w:hint="eastAsia" w:ascii="Times New Roman" w:hAnsi="Times New Roman" w:eastAsia="宋体" w:cs="Times New Roman"/>
          <w:color w:val="auto"/>
          <w:kern w:val="2"/>
          <w:sz w:val="28"/>
          <w:szCs w:val="28"/>
          <w:lang w:val="en-US" w:eastAsia="zh-CN" w:bidi="ar-SA"/>
        </w:rPr>
        <w:t>）、</w:t>
      </w:r>
      <w:r>
        <w:rPr>
          <w:rFonts w:hint="default" w:ascii="Times New Roman" w:hAnsi="Times New Roman" w:eastAsia="宋体" w:cs="Times New Roman"/>
          <w:color w:val="auto"/>
          <w:kern w:val="2"/>
          <w:sz w:val="28"/>
          <w:szCs w:val="28"/>
          <w:lang w:val="en-US" w:eastAsia="zh-CN" w:bidi="ar-SA"/>
        </w:rPr>
        <w:t xml:space="preserve">2019 </w:t>
      </w:r>
      <w:r>
        <w:rPr>
          <w:rFonts w:hint="eastAsia" w:ascii="Times New Roman" w:hAnsi="Times New Roman" w:eastAsia="宋体" w:cs="Times New Roman"/>
          <w:color w:val="auto"/>
          <w:kern w:val="2"/>
          <w:sz w:val="28"/>
          <w:szCs w:val="28"/>
          <w:lang w:val="en-US" w:eastAsia="zh-CN" w:bidi="ar-SA"/>
        </w:rPr>
        <w:t xml:space="preserve">年 </w:t>
      </w:r>
      <w:r>
        <w:rPr>
          <w:rFonts w:hint="default" w:ascii="Times New Roman" w:hAnsi="Times New Roman" w:eastAsia="宋体" w:cs="Times New Roman"/>
          <w:color w:val="auto"/>
          <w:kern w:val="2"/>
          <w:sz w:val="28"/>
          <w:szCs w:val="28"/>
          <w:lang w:val="en-US" w:eastAsia="zh-CN" w:bidi="ar-SA"/>
        </w:rPr>
        <w:t xml:space="preserve">12 </w:t>
      </w:r>
      <w:r>
        <w:rPr>
          <w:rFonts w:hint="eastAsia" w:ascii="Times New Roman" w:hAnsi="Times New Roman" w:eastAsia="宋体" w:cs="Times New Roman"/>
          <w:color w:val="auto"/>
          <w:kern w:val="2"/>
          <w:sz w:val="28"/>
          <w:szCs w:val="28"/>
          <w:lang w:val="en-US" w:eastAsia="zh-CN" w:bidi="ar-SA"/>
        </w:rPr>
        <w:t xml:space="preserve">月在怀化市生态环境局备案（备案编号为 </w:t>
      </w:r>
      <w:r>
        <w:rPr>
          <w:rFonts w:hint="default" w:ascii="Times New Roman" w:hAnsi="Times New Roman" w:eastAsia="宋体" w:cs="Times New Roman"/>
          <w:color w:val="auto"/>
          <w:kern w:val="2"/>
          <w:sz w:val="28"/>
          <w:szCs w:val="28"/>
          <w:lang w:val="en-US" w:eastAsia="zh-CN" w:bidi="ar-SA"/>
        </w:rPr>
        <w:t>431222-2019-016-G</w:t>
      </w:r>
      <w:r>
        <w:rPr>
          <w:rFonts w:hint="eastAsia" w:ascii="Times New Roman" w:hAnsi="Times New Roman" w:eastAsia="宋体" w:cs="Times New Roman"/>
          <w:color w:val="auto"/>
          <w:kern w:val="2"/>
          <w:sz w:val="28"/>
          <w:szCs w:val="28"/>
          <w:lang w:val="en-US" w:eastAsia="zh-CN" w:bidi="ar-SA"/>
        </w:rPr>
        <w:t>），具体详见附件。</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（2）环境应急救援物资储备清单及相关管理制度</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应急物资、装备是突发环境事件应急救援的重要物质保障，也是保证应急队伍有效开展工作的基础。应急救援物资包括企业内部应急资源和外部应急资源，园区建立了区域突发环境事件应急装备紧急调度机制，做到应急装备资源共享，使有限的资源在应急处置中能够充分发挥作用。</w:t>
      </w:r>
    </w:p>
    <w:p>
      <w:pPr>
        <w:pStyle w:val="4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根据应急预案的要求，园区管委会目前已经购买了消防急救包、医用急救箱、应急照相器材、应急录音设备、防护手套、干粉灭火器等部分应急物质及装备。一旦发生特别重大、重大或较大的突发环境事件，应急指挥办公室负责召集相关部门对事件的可能影响进行分析、应急物资与设备的紧急动员与调用。</w:t>
      </w:r>
    </w:p>
    <w:p>
      <w:pPr>
        <w:spacing w:line="360" w:lineRule="auto"/>
        <w:outlineLvl w:val="0"/>
        <w:rPr>
          <w:rFonts w:ascii="Times New Roman" w:hAnsi="Times New Roman" w:cs="Times New Roman" w:eastAsiaTheme="minorEastAsia"/>
          <w:b/>
          <w:color w:val="auto"/>
          <w:szCs w:val="32"/>
        </w:rPr>
      </w:pPr>
      <w:r>
        <w:rPr>
          <w:rFonts w:ascii="Times New Roman" w:hAnsi="Times New Roman" w:cs="Times New Roman" w:eastAsiaTheme="minorEastAsia"/>
          <w:b/>
          <w:color w:val="auto"/>
          <w:szCs w:val="32"/>
        </w:rPr>
        <w:t>三、园区环保工作成效、主要措施做法</w:t>
      </w:r>
      <w:bookmarkEnd w:id="21"/>
    </w:p>
    <w:p>
      <w:pPr>
        <w:pStyle w:val="38"/>
        <w:keepNext w:val="0"/>
        <w:keepLines w:val="0"/>
        <w:pageBreakBefore w:val="0"/>
        <w:widowControl w:val="0"/>
        <w:kinsoku/>
        <w:wordWrap w:val="0"/>
        <w:overflowPunct/>
        <w:topLinePunct w:val="0"/>
        <w:autoSpaceDE/>
        <w:autoSpaceDN/>
        <w:bidi w:val="0"/>
        <w:adjustRightInd/>
        <w:snapToGrid/>
        <w:ind w:firstLine="482"/>
        <w:textAlignment w:val="auto"/>
        <w:rPr>
          <w:b/>
          <w:color w:val="auto"/>
          <w:sz w:val="28"/>
          <w:szCs w:val="28"/>
        </w:rPr>
      </w:pPr>
      <w:bookmarkStart w:id="23" w:name="_Toc68103686"/>
      <w:r>
        <w:rPr>
          <w:rFonts w:hint="eastAsia"/>
          <w:b/>
          <w:color w:val="auto"/>
          <w:sz w:val="28"/>
          <w:szCs w:val="28"/>
        </w:rPr>
        <w:t>1、生态环境保护成效明显</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（1）环保服务进一步深化。参与园区内项目实地</w:t>
      </w:r>
      <w:r>
        <w:rPr>
          <w:rFonts w:hint="eastAsia"/>
          <w:color w:val="auto"/>
          <w:sz w:val="28"/>
          <w:szCs w:val="28"/>
          <w:lang w:val="en-US" w:eastAsia="zh-CN"/>
        </w:rPr>
        <w:t>考察</w:t>
      </w:r>
      <w:r>
        <w:rPr>
          <w:rFonts w:hint="eastAsia"/>
          <w:color w:val="auto"/>
          <w:sz w:val="28"/>
          <w:szCs w:val="28"/>
        </w:rPr>
        <w:t>，为入园企业提供选址优化、审批办理、排污许可、环保管理等链条式、全方位指导。</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w:t>
      </w:r>
      <w:r>
        <w:rPr>
          <w:rFonts w:hint="eastAsia"/>
          <w:color w:val="auto"/>
          <w:sz w:val="28"/>
          <w:szCs w:val="28"/>
          <w:lang w:val="en-US" w:eastAsia="zh-CN"/>
        </w:rPr>
        <w:t>2</w:t>
      </w:r>
      <w:r>
        <w:rPr>
          <w:rFonts w:hint="eastAsia"/>
          <w:color w:val="auto"/>
          <w:sz w:val="28"/>
          <w:szCs w:val="28"/>
        </w:rPr>
        <w:t>）督促企业完成登记管理类申报，初步建立了统一公平、</w:t>
      </w:r>
      <w:r>
        <w:rPr>
          <w:rFonts w:hint="eastAsia"/>
          <w:color w:val="auto"/>
          <w:sz w:val="28"/>
          <w:szCs w:val="28"/>
          <w:lang w:val="en-US" w:eastAsia="zh-CN"/>
        </w:rPr>
        <w:t>监管</w:t>
      </w:r>
      <w:r>
        <w:rPr>
          <w:rFonts w:hint="eastAsia"/>
          <w:color w:val="auto"/>
          <w:sz w:val="28"/>
          <w:szCs w:val="28"/>
        </w:rPr>
        <w:t>固定污染源企业排放许可制度和严格监管污染物排放的环境保护管理制度。</w:t>
      </w:r>
    </w:p>
    <w:p>
      <w:pPr>
        <w:pStyle w:val="38"/>
        <w:keepNext w:val="0"/>
        <w:keepLines w:val="0"/>
        <w:pageBreakBefore w:val="0"/>
        <w:widowControl w:val="0"/>
        <w:kinsoku/>
        <w:wordWrap w:val="0"/>
        <w:overflowPunct/>
        <w:topLinePunct w:val="0"/>
        <w:autoSpaceDE/>
        <w:autoSpaceDN/>
        <w:bidi w:val="0"/>
        <w:adjustRightInd/>
        <w:snapToGrid/>
        <w:ind w:firstLine="482"/>
        <w:textAlignment w:val="auto"/>
        <w:rPr>
          <w:b/>
          <w:color w:val="auto"/>
          <w:sz w:val="28"/>
          <w:szCs w:val="28"/>
        </w:rPr>
      </w:pPr>
      <w:r>
        <w:rPr>
          <w:rFonts w:hint="eastAsia"/>
          <w:b/>
          <w:color w:val="auto"/>
          <w:sz w:val="28"/>
          <w:szCs w:val="28"/>
        </w:rPr>
        <w:t>2、统筹兼顾，环境准入管理进一步规范</w:t>
      </w:r>
    </w:p>
    <w:p>
      <w:pPr>
        <w:pStyle w:val="38"/>
        <w:keepNext w:val="0"/>
        <w:keepLines w:val="0"/>
        <w:pageBreakBefore w:val="0"/>
        <w:widowControl w:val="0"/>
        <w:kinsoku/>
        <w:wordWrap w:val="0"/>
        <w:overflowPunct/>
        <w:topLinePunct w:val="0"/>
        <w:autoSpaceDE/>
        <w:autoSpaceDN/>
        <w:bidi w:val="0"/>
        <w:adjustRightInd/>
        <w:snapToGrid/>
        <w:textAlignment w:val="auto"/>
        <w:rPr>
          <w:rFonts w:hint="eastAsia" w:eastAsia="宋体"/>
          <w:color w:val="auto"/>
          <w:sz w:val="28"/>
          <w:szCs w:val="28"/>
          <w:lang w:eastAsia="zh-CN"/>
        </w:rPr>
      </w:pPr>
      <w:r>
        <w:rPr>
          <w:rFonts w:hint="eastAsia"/>
          <w:color w:val="auto"/>
          <w:sz w:val="28"/>
          <w:szCs w:val="28"/>
        </w:rPr>
        <w:t>根据生态环境部对工业园区管理的新思想，园区的产业定位和产业布局严格执行“三线一单”，对发展空间和产业准入进行严格管控。形成规范化环境准入管理机制，切实推动环境质量持续改善</w:t>
      </w:r>
      <w:r>
        <w:rPr>
          <w:rFonts w:hint="eastAsia"/>
          <w:color w:val="auto"/>
          <w:sz w:val="28"/>
          <w:szCs w:val="28"/>
          <w:lang w:eastAsia="zh-CN"/>
        </w:rPr>
        <w:t>，</w:t>
      </w:r>
      <w:r>
        <w:rPr>
          <w:rFonts w:hint="eastAsia"/>
          <w:color w:val="auto"/>
          <w:sz w:val="28"/>
          <w:szCs w:val="28"/>
          <w:lang w:val="en-US" w:eastAsia="zh-CN"/>
        </w:rPr>
        <w:t>委托怀化市生态环境局沅陵分局</w:t>
      </w:r>
      <w:r>
        <w:rPr>
          <w:rFonts w:hint="eastAsia"/>
          <w:color w:val="auto"/>
          <w:sz w:val="28"/>
          <w:szCs w:val="28"/>
          <w:lang w:eastAsia="zh-CN"/>
        </w:rPr>
        <w:t>对园区进行管理，主要包括环保督查、巡查、入驻项目预审核、项目的执法检查等。</w:t>
      </w:r>
    </w:p>
    <w:p>
      <w:pPr>
        <w:pStyle w:val="38"/>
        <w:keepNext w:val="0"/>
        <w:keepLines w:val="0"/>
        <w:pageBreakBefore w:val="0"/>
        <w:widowControl w:val="0"/>
        <w:kinsoku/>
        <w:wordWrap w:val="0"/>
        <w:overflowPunct/>
        <w:topLinePunct w:val="0"/>
        <w:autoSpaceDE/>
        <w:autoSpaceDN/>
        <w:bidi w:val="0"/>
        <w:adjustRightInd/>
        <w:snapToGrid/>
        <w:ind w:firstLine="482"/>
        <w:textAlignment w:val="auto"/>
        <w:rPr>
          <w:b/>
          <w:color w:val="auto"/>
          <w:sz w:val="28"/>
          <w:szCs w:val="28"/>
        </w:rPr>
      </w:pPr>
      <w:r>
        <w:rPr>
          <w:rFonts w:hint="eastAsia"/>
          <w:b/>
          <w:color w:val="auto"/>
          <w:sz w:val="28"/>
          <w:szCs w:val="28"/>
        </w:rPr>
        <w:t>3、加强监管，环境保障措施进一步优化</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园区高度注重环境保护监管工作，采取有效措施不断加大生态环境保护和建设力度，实现经济、社会和环境效益多贏。</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（1）开展帮扶检查，结合排污许可证核发工作，对企业开展帮扶检查，指导企业开展备案登记和分类申报，指导企业不断完善治理设施；</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（2）在双随机执法和日常监管中发现的问题及时督促企业整改；</w:t>
      </w:r>
    </w:p>
    <w:p>
      <w:pPr>
        <w:pStyle w:val="38"/>
        <w:keepNext w:val="0"/>
        <w:keepLines w:val="0"/>
        <w:pageBreakBefore w:val="0"/>
        <w:widowControl w:val="0"/>
        <w:kinsoku/>
        <w:wordWrap w:val="0"/>
        <w:overflowPunct/>
        <w:topLinePunct w:val="0"/>
        <w:autoSpaceDE/>
        <w:autoSpaceDN/>
        <w:bidi w:val="0"/>
        <w:adjustRightInd/>
        <w:snapToGrid/>
        <w:textAlignment w:val="auto"/>
        <w:rPr>
          <w:color w:val="auto"/>
          <w:sz w:val="28"/>
          <w:szCs w:val="28"/>
        </w:rPr>
      </w:pPr>
      <w:r>
        <w:rPr>
          <w:rFonts w:hint="eastAsia"/>
          <w:color w:val="auto"/>
          <w:sz w:val="28"/>
          <w:szCs w:val="28"/>
        </w:rPr>
        <w:t>（3）配合上级环保部门针对存在的问题督促企业进行整改。</w:t>
      </w:r>
    </w:p>
    <w:p>
      <w:pPr>
        <w:pStyle w:val="38"/>
        <w:keepNext w:val="0"/>
        <w:keepLines w:val="0"/>
        <w:pageBreakBefore w:val="0"/>
        <w:widowControl w:val="0"/>
        <w:kinsoku/>
        <w:wordWrap w:val="0"/>
        <w:overflowPunct/>
        <w:topLinePunct w:val="0"/>
        <w:autoSpaceDE/>
        <w:autoSpaceDN/>
        <w:bidi w:val="0"/>
        <w:adjustRightInd/>
        <w:snapToGrid/>
        <w:ind w:firstLine="482"/>
        <w:textAlignment w:val="auto"/>
        <w:rPr>
          <w:b/>
          <w:color w:val="auto"/>
          <w:sz w:val="28"/>
          <w:szCs w:val="28"/>
        </w:rPr>
      </w:pPr>
      <w:r>
        <w:rPr>
          <w:rFonts w:hint="eastAsia"/>
          <w:b/>
          <w:color w:val="auto"/>
          <w:sz w:val="28"/>
          <w:szCs w:val="28"/>
        </w:rPr>
        <w:t>4、强力推进突出环境问题整改</w:t>
      </w:r>
    </w:p>
    <w:p>
      <w:pPr>
        <w:pStyle w:val="38"/>
        <w:keepNext w:val="0"/>
        <w:keepLines w:val="0"/>
        <w:pageBreakBefore w:val="0"/>
        <w:widowControl w:val="0"/>
        <w:kinsoku/>
        <w:wordWrap w:val="0"/>
        <w:overflowPunct/>
        <w:topLinePunct w:val="0"/>
        <w:autoSpaceDE/>
        <w:autoSpaceDN/>
        <w:bidi w:val="0"/>
        <w:adjustRightInd/>
        <w:snapToGrid/>
        <w:textAlignment w:val="auto"/>
        <w:rPr>
          <w:rFonts w:hint="eastAsia"/>
          <w:color w:val="auto"/>
          <w:sz w:val="28"/>
          <w:szCs w:val="28"/>
        </w:rPr>
      </w:pPr>
      <w:r>
        <w:rPr>
          <w:rFonts w:hint="eastAsia"/>
          <w:color w:val="auto"/>
          <w:sz w:val="28"/>
          <w:szCs w:val="28"/>
          <w:lang w:val="en-US" w:eastAsia="zh-CN"/>
        </w:rPr>
        <w:t>配合</w:t>
      </w:r>
      <w:r>
        <w:rPr>
          <w:rFonts w:hint="eastAsia"/>
          <w:color w:val="auto"/>
          <w:sz w:val="28"/>
          <w:szCs w:val="28"/>
        </w:rPr>
        <w:t>生态环境部门对园区企业开展执法检查，重点检查企业污染防治设施的运行情况、现场管理是否规范、手续是否齐全、排放是否达标等，对发现的问题责令立即整改，全年通过监管执法。配合管理部门全面开展危险废物系统化管理。</w:t>
      </w:r>
    </w:p>
    <w:p>
      <w:pPr>
        <w:pStyle w:val="38"/>
        <w:keepNext w:val="0"/>
        <w:keepLines w:val="0"/>
        <w:pageBreakBefore w:val="0"/>
        <w:widowControl w:val="0"/>
        <w:kinsoku/>
        <w:wordWrap w:val="0"/>
        <w:overflowPunct/>
        <w:topLinePunct w:val="0"/>
        <w:autoSpaceDE/>
        <w:autoSpaceDN/>
        <w:bidi w:val="0"/>
        <w:adjustRightInd/>
        <w:snapToGrid/>
        <w:ind w:firstLine="482"/>
        <w:textAlignment w:val="auto"/>
        <w:rPr>
          <w:rFonts w:hint="default" w:ascii="Times New Roman" w:hAnsi="Times New Roman" w:eastAsia="宋体" w:cs="Times New Roman"/>
          <w:b/>
          <w:color w:val="auto"/>
          <w:sz w:val="28"/>
          <w:szCs w:val="28"/>
          <w:lang w:val="en-US" w:eastAsia="zh-CN"/>
        </w:rPr>
      </w:pPr>
      <w:r>
        <w:rPr>
          <w:rFonts w:hint="eastAsia" w:ascii="Times New Roman" w:hAnsi="Times New Roman" w:eastAsia="宋体" w:cs="Times New Roman"/>
          <w:b/>
          <w:color w:val="auto"/>
          <w:sz w:val="28"/>
          <w:szCs w:val="28"/>
          <w:lang w:val="en-US" w:eastAsia="zh-CN"/>
        </w:rPr>
        <w:t>5、</w:t>
      </w:r>
      <w:r>
        <w:rPr>
          <w:rFonts w:hint="eastAsia" w:ascii="Times New Roman" w:hAnsi="Times New Roman" w:eastAsia="宋体" w:cs="Times New Roman"/>
          <w:b/>
          <w:color w:val="auto"/>
          <w:sz w:val="28"/>
          <w:szCs w:val="28"/>
          <w:lang w:eastAsia="zh-CN"/>
        </w:rPr>
        <w:t>完成了</w:t>
      </w:r>
      <w:r>
        <w:rPr>
          <w:rFonts w:hint="eastAsia" w:ascii="Times New Roman" w:hAnsi="Times New Roman" w:eastAsia="宋体" w:cs="Times New Roman"/>
          <w:b/>
          <w:color w:val="auto"/>
          <w:sz w:val="28"/>
          <w:szCs w:val="28"/>
          <w:lang w:val="en-US" w:eastAsia="zh-CN"/>
        </w:rPr>
        <w:t>2020年省环保督察“回头看”</w:t>
      </w:r>
      <w:r>
        <w:rPr>
          <w:rFonts w:hint="eastAsia" w:ascii="Times New Roman" w:hAnsi="Times New Roman" w:eastAsia="宋体" w:cs="Times New Roman"/>
          <w:b/>
          <w:color w:val="auto"/>
          <w:sz w:val="28"/>
          <w:szCs w:val="28"/>
          <w:lang w:eastAsia="zh-CN"/>
        </w:rPr>
        <w:t>污水处理厂吃不饱问题</w:t>
      </w:r>
      <w:r>
        <w:rPr>
          <w:rFonts w:hint="eastAsia" w:ascii="Times New Roman" w:hAnsi="Times New Roman" w:eastAsia="宋体" w:cs="Times New Roman"/>
          <w:b/>
          <w:color w:val="auto"/>
          <w:sz w:val="28"/>
          <w:szCs w:val="28"/>
          <w:lang w:val="en-US" w:eastAsia="zh-CN"/>
        </w:rPr>
        <w:t>整改</w:t>
      </w:r>
      <w:r>
        <w:rPr>
          <w:rFonts w:hint="eastAsia" w:ascii="Times New Roman" w:hAnsi="Times New Roman" w:eastAsia="宋体" w:cs="Times New Roman"/>
          <w:b/>
          <w:color w:val="auto"/>
          <w:sz w:val="28"/>
          <w:szCs w:val="28"/>
          <w:lang w:eastAsia="zh-CN"/>
        </w:rPr>
        <w:t>销号工作</w:t>
      </w:r>
    </w:p>
    <w:p>
      <w:pPr>
        <w:pStyle w:val="7"/>
        <w:keepNext w:val="0"/>
        <w:keepLines w:val="0"/>
        <w:pageBreakBefore w:val="0"/>
        <w:widowControl w:val="0"/>
        <w:kinsoku/>
        <w:wordWrap/>
        <w:overflowPunct/>
        <w:topLinePunct w:val="0"/>
        <w:autoSpaceDE/>
        <w:autoSpaceDN/>
        <w:bidi w:val="0"/>
        <w:adjustRightInd/>
        <w:spacing w:after="0" w:line="600" w:lineRule="exact"/>
        <w:ind w:firstLine="560"/>
        <w:textAlignment w:val="auto"/>
        <w:rPr>
          <w:rFonts w:hint="eastAsia" w:ascii="Times New Roman" w:hAnsi="Times New Roman" w:cs="黑体" w:eastAsiaTheme="minorEastAsia"/>
          <w:color w:val="auto"/>
          <w:kern w:val="2"/>
          <w:sz w:val="28"/>
          <w:szCs w:val="28"/>
          <w:lang w:val="en-US" w:eastAsia="zh-CN" w:bidi="ar-SA"/>
        </w:rPr>
      </w:pPr>
      <w:r>
        <w:rPr>
          <w:rFonts w:hint="eastAsia" w:ascii="Times New Roman" w:hAnsi="Times New Roman" w:cs="黑体" w:eastAsiaTheme="minorEastAsia"/>
          <w:color w:val="auto"/>
          <w:kern w:val="2"/>
          <w:sz w:val="28"/>
          <w:szCs w:val="28"/>
          <w:lang w:val="en-US" w:eastAsia="zh-CN" w:bidi="ar-SA"/>
        </w:rPr>
        <w:t>2020年10月23日至11月6日，省环保督察“回头看”期间，督察组指出沅陵产业开发区存在污水处理厂存在“吃不饱”，污水实际处理量不足设计处理能力的30%，设施正常运行难度大的问题。收到该督察反馈问题，县委、县政府及园区管委会高度重视，结合园区实际的发展现状，立即部署相关部门专题会商制定可行的整改方案，确定了一是加大园区招商引资力度，二是同时开展园区范围内管网漏损情况开展专项排查，确保园区内的污水应收尽收的整改思路，并将相应的整改方案呈报至县委、县政府。</w:t>
      </w:r>
    </w:p>
    <w:p>
      <w:pPr>
        <w:ind w:firstLine="560"/>
        <w:rPr>
          <w:rFonts w:hint="default" w:ascii="Times New Roman" w:hAnsi="Times New Roman" w:cs="黑体" w:eastAsiaTheme="minorEastAsia"/>
          <w:color w:val="auto"/>
          <w:kern w:val="2"/>
          <w:sz w:val="28"/>
          <w:szCs w:val="28"/>
          <w:lang w:val="en-US" w:eastAsia="zh-CN" w:bidi="ar-SA"/>
        </w:rPr>
      </w:pPr>
      <w:r>
        <w:rPr>
          <w:rFonts w:hint="eastAsia" w:ascii="Times New Roman" w:hAnsi="Times New Roman" w:cs="黑体" w:eastAsiaTheme="minorEastAsia"/>
          <w:color w:val="auto"/>
          <w:kern w:val="2"/>
          <w:sz w:val="28"/>
          <w:szCs w:val="28"/>
          <w:lang w:val="en-US" w:eastAsia="zh-CN" w:bidi="ar-SA"/>
        </w:rPr>
        <w:t>2021年，园区委托专业的第三方公司园区雨污管道错位、脱节、破损、混流、淤积、堵塞等情况进行全面检测；对混流处进行彻底雨污分流，对错位、脱节、破损处采用树脂注胶或套管密封；对破损严重处换管处理。通过对园区管网的疏通和修复后，园区污水处理厂日处理水量从整改前的150m</w:t>
      </w:r>
      <w:r>
        <w:rPr>
          <w:rFonts w:hint="eastAsia" w:ascii="Times New Roman" w:hAnsi="Times New Roman" w:cs="黑体" w:eastAsiaTheme="minorEastAsia"/>
          <w:color w:val="auto"/>
          <w:kern w:val="2"/>
          <w:sz w:val="28"/>
          <w:szCs w:val="28"/>
          <w:vertAlign w:val="superscript"/>
          <w:lang w:val="en-US" w:eastAsia="zh-CN" w:bidi="ar-SA"/>
        </w:rPr>
        <w:t>3</w:t>
      </w:r>
      <w:r>
        <w:rPr>
          <w:rFonts w:hint="eastAsia" w:ascii="Times New Roman" w:hAnsi="Times New Roman" w:cs="黑体" w:eastAsiaTheme="minorEastAsia"/>
          <w:color w:val="auto"/>
          <w:kern w:val="2"/>
          <w:sz w:val="28"/>
          <w:szCs w:val="28"/>
          <w:lang w:val="en-US" w:eastAsia="zh-CN" w:bidi="ar-SA"/>
        </w:rPr>
        <w:t>/d提升至了550m</w:t>
      </w:r>
      <w:r>
        <w:rPr>
          <w:rFonts w:hint="eastAsia" w:ascii="Times New Roman" w:hAnsi="Times New Roman" w:cs="黑体" w:eastAsiaTheme="minorEastAsia"/>
          <w:color w:val="auto"/>
          <w:kern w:val="2"/>
          <w:sz w:val="28"/>
          <w:szCs w:val="28"/>
          <w:vertAlign w:val="superscript"/>
          <w:lang w:val="en-US" w:eastAsia="zh-CN" w:bidi="ar-SA"/>
        </w:rPr>
        <w:t>3</w:t>
      </w:r>
      <w:r>
        <w:rPr>
          <w:rFonts w:hint="eastAsia" w:ascii="Times New Roman" w:hAnsi="Times New Roman" w:cs="黑体" w:eastAsiaTheme="minorEastAsia"/>
          <w:color w:val="auto"/>
          <w:kern w:val="2"/>
          <w:sz w:val="28"/>
          <w:szCs w:val="28"/>
          <w:lang w:val="en-US" w:eastAsia="zh-CN" w:bidi="ar-SA"/>
        </w:rPr>
        <w:t>/d。已基本按暨定的整改方案要求完成了相关整改工作目标，并向市整改办上报了整改销号资料，且通过了市整改办组织的现场核查验收。</w:t>
      </w:r>
    </w:p>
    <w:p>
      <w:pPr>
        <w:pStyle w:val="38"/>
        <w:keepNext w:val="0"/>
        <w:keepLines w:val="0"/>
        <w:pageBreakBefore w:val="0"/>
        <w:widowControl w:val="0"/>
        <w:numPr>
          <w:ilvl w:val="0"/>
          <w:numId w:val="0"/>
        </w:numPr>
        <w:kinsoku/>
        <w:wordWrap w:val="0"/>
        <w:overflowPunct/>
        <w:topLinePunct w:val="0"/>
        <w:autoSpaceDE/>
        <w:autoSpaceDN/>
        <w:bidi w:val="0"/>
        <w:adjustRightInd/>
        <w:snapToGrid/>
        <w:ind w:left="560" w:leftChars="0"/>
        <w:textAlignment w:val="auto"/>
        <w:rPr>
          <w:rFonts w:hint="eastAsia" w:ascii="Times New Roman" w:hAnsi="Times New Roman" w:eastAsia="宋体" w:cs="Times New Roman"/>
          <w:b/>
          <w:color w:val="auto"/>
          <w:sz w:val="28"/>
          <w:szCs w:val="28"/>
          <w:lang w:val="en-US" w:eastAsia="zh-CN"/>
        </w:rPr>
      </w:pPr>
      <w:r>
        <w:rPr>
          <w:rFonts w:hint="eastAsia" w:ascii="Times New Roman" w:hAnsi="Times New Roman" w:eastAsia="宋体" w:cs="Times New Roman"/>
          <w:b/>
          <w:color w:val="auto"/>
          <w:sz w:val="28"/>
          <w:szCs w:val="28"/>
          <w:lang w:val="en-US" w:eastAsia="zh-CN"/>
        </w:rPr>
        <w:t>6、完成了园区入河排污口设置审批工作</w:t>
      </w:r>
    </w:p>
    <w:p>
      <w:pPr>
        <w:pStyle w:val="17"/>
        <w:numPr>
          <w:ilvl w:val="0"/>
          <w:numId w:val="0"/>
        </w:numPr>
        <w:ind w:firstLine="560" w:firstLineChars="200"/>
        <w:rPr>
          <w:rFonts w:hint="default" w:ascii="Times New Roman" w:hAnsi="Times New Roman" w:cs="黑体" w:eastAsiaTheme="minorEastAsia"/>
          <w:color w:val="auto"/>
          <w:kern w:val="2"/>
          <w:sz w:val="28"/>
          <w:szCs w:val="28"/>
          <w:lang w:val="en-US" w:eastAsia="zh-CN" w:bidi="ar-SA"/>
        </w:rPr>
      </w:pPr>
      <w:r>
        <w:rPr>
          <w:rFonts w:hint="eastAsia" w:ascii="Times New Roman" w:hAnsi="Times New Roman" w:cs="黑体" w:eastAsiaTheme="minorEastAsia"/>
          <w:color w:val="auto"/>
          <w:kern w:val="2"/>
          <w:sz w:val="28"/>
          <w:szCs w:val="28"/>
          <w:lang w:val="en-US" w:eastAsia="zh-CN" w:bidi="ar-SA"/>
        </w:rPr>
        <w:t>根据省生态环境厅、省发改委、省工信厅、省住建厅等四部门关于印发《规范和加强产业园区工业污水收集处理实施方案（2021-2023年）》（湘环发[2021]41号）以及市生态环境局《关于开展我市省级以上工业园区污水处理厂入河排污口设置审批工作的通知》相关文件精神和要求，园区积极推动开展园区污水处理厂入河排污口设置审批工作，并于2021年11月5日取得怀化市生态环境局沅陵分局关于园区入河排污口设置的批复（具体详见附件），为园区后续的调区扩区工作打下了夯实的基础。</w:t>
      </w:r>
    </w:p>
    <w:p>
      <w:pPr>
        <w:pStyle w:val="38"/>
        <w:keepNext w:val="0"/>
        <w:keepLines w:val="0"/>
        <w:pageBreakBefore w:val="0"/>
        <w:widowControl w:val="0"/>
        <w:numPr>
          <w:ilvl w:val="0"/>
          <w:numId w:val="0"/>
        </w:numPr>
        <w:kinsoku/>
        <w:wordWrap w:val="0"/>
        <w:overflowPunct/>
        <w:topLinePunct w:val="0"/>
        <w:autoSpaceDE/>
        <w:autoSpaceDN/>
        <w:bidi w:val="0"/>
        <w:adjustRightInd/>
        <w:snapToGrid/>
        <w:ind w:left="560" w:leftChars="0"/>
        <w:textAlignment w:val="auto"/>
        <w:rPr>
          <w:b/>
          <w:color w:val="auto"/>
          <w:sz w:val="28"/>
          <w:szCs w:val="28"/>
        </w:rPr>
      </w:pPr>
      <w:r>
        <w:rPr>
          <w:rFonts w:hint="eastAsia"/>
          <w:b/>
          <w:color w:val="auto"/>
          <w:sz w:val="28"/>
          <w:szCs w:val="28"/>
          <w:lang w:val="en-US" w:eastAsia="zh-CN"/>
        </w:rPr>
        <w:t>7、</w:t>
      </w:r>
      <w:r>
        <w:rPr>
          <w:rFonts w:hint="eastAsia"/>
          <w:b/>
          <w:color w:val="auto"/>
          <w:sz w:val="28"/>
          <w:szCs w:val="28"/>
        </w:rPr>
        <w:t>风险防控机制进一步完善</w:t>
      </w:r>
    </w:p>
    <w:p>
      <w:pPr>
        <w:pStyle w:val="49"/>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园区夯实生态环境监测和预警体系，将风险防范纳入常态化管理，</w:t>
      </w:r>
      <w:r>
        <w:rPr>
          <w:rFonts w:hint="eastAsia" w:ascii="宋体" w:hAnsi="宋体" w:eastAsia="宋体" w:cs="宋体"/>
          <w:color w:val="auto"/>
          <w:highlight w:val="none"/>
          <w:lang w:val="en-US" w:eastAsia="zh-CN"/>
        </w:rPr>
        <w:t>园区定期开展园区环境风险隐患排查，敦促及时企业就发现的问题整改到位；微型空气监控站实时监测并数据联网，通过怀化市大气污染应急检查APP可以随时查询工业园空气质量情况，此举为园区空气质量预警提供了可靠保证；园区同时委托具有资质的第三方运营公</w:t>
      </w:r>
      <w:r>
        <w:rPr>
          <w:rFonts w:hint="eastAsia" w:ascii="宋体" w:hAnsi="宋体" w:eastAsia="宋体" w:cs="宋体"/>
          <w:color w:val="auto"/>
          <w:spacing w:val="-6"/>
          <w:sz w:val="28"/>
          <w:highlight w:val="none"/>
          <w:lang w:val="en-US" w:eastAsia="zh-CN"/>
        </w:rPr>
        <w:t>司与楚天环境技术开发有限公司分别对污水处理站和在线监控进行运营监管，同时规范管理制度，对水质、水量、污泥量、耗电量等各项工作做好管理台账，安排专职人员进行24小时维护管理，确保园区污水处理设施稳定运行，达标排放。</w:t>
      </w:r>
    </w:p>
    <w:bookmarkEnd w:id="23"/>
    <w:p>
      <w:pPr>
        <w:spacing w:line="360" w:lineRule="auto"/>
        <w:outlineLvl w:val="0"/>
        <w:rPr>
          <w:rFonts w:ascii="Times New Roman" w:hAnsi="Times New Roman" w:cs="Times New Roman" w:eastAsiaTheme="minorEastAsia"/>
          <w:b/>
          <w:color w:val="auto"/>
          <w:szCs w:val="32"/>
        </w:rPr>
      </w:pPr>
      <w:bookmarkStart w:id="24" w:name="_Toc68103690"/>
      <w:r>
        <w:rPr>
          <w:rFonts w:ascii="Times New Roman" w:hAnsi="Times New Roman" w:cs="Times New Roman" w:eastAsiaTheme="minorEastAsia"/>
          <w:b/>
          <w:color w:val="auto"/>
          <w:szCs w:val="32"/>
        </w:rPr>
        <w:t>四、园区生态环境管理存在主要问题和难题</w:t>
      </w:r>
      <w:bookmarkEnd w:id="24"/>
    </w:p>
    <w:p>
      <w:pPr>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eastAsia="宋体" w:cs="宋体"/>
          <w:b/>
          <w:bCs/>
          <w:color w:val="auto"/>
          <w:spacing w:val="-6"/>
          <w:kern w:val="2"/>
          <w:sz w:val="28"/>
          <w:szCs w:val="22"/>
          <w:highlight w:val="none"/>
          <w:lang w:val="en-US" w:eastAsia="zh-CN" w:bidi="ar-SA"/>
        </w:rPr>
      </w:pPr>
      <w:r>
        <w:rPr>
          <w:rFonts w:hint="eastAsia" w:ascii="宋体" w:hAnsi="宋体" w:eastAsia="宋体" w:cs="宋体"/>
          <w:b/>
          <w:bCs/>
          <w:color w:val="auto"/>
          <w:spacing w:val="-6"/>
          <w:kern w:val="2"/>
          <w:sz w:val="28"/>
          <w:szCs w:val="22"/>
          <w:highlight w:val="none"/>
          <w:lang w:val="en-US" w:eastAsia="zh-CN" w:bidi="ar-SA"/>
        </w:rPr>
        <w:t>1、园区调区扩区工作相对滞后</w:t>
      </w:r>
    </w:p>
    <w:p>
      <w:pPr>
        <w:pStyle w:val="17"/>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color w:val="auto"/>
          <w:spacing w:val="-6"/>
          <w:kern w:val="2"/>
          <w:sz w:val="28"/>
          <w:szCs w:val="22"/>
          <w:highlight w:val="none"/>
          <w:lang w:val="en-US" w:eastAsia="zh-CN" w:bidi="ar-SA"/>
        </w:rPr>
      </w:pPr>
      <w:r>
        <w:rPr>
          <w:rFonts w:hint="eastAsia" w:ascii="宋体" w:hAnsi="宋体" w:eastAsia="宋体" w:cs="宋体"/>
          <w:color w:val="auto"/>
          <w:spacing w:val="-6"/>
          <w:kern w:val="2"/>
          <w:sz w:val="28"/>
          <w:szCs w:val="22"/>
          <w:highlight w:val="none"/>
          <w:lang w:val="en-US" w:eastAsia="zh-CN" w:bidi="ar-SA"/>
        </w:rPr>
        <w:t>园区正委托湖南省国际工程咨询中心有限公司编制《沅陵产业开发区调区扩区规划（2021-2025）环境影响评价报告书》，目前已完成送审稿的编制工作，尚未获得省发改委及省生态环境厅关于同意我园区调区扩区的批复。</w:t>
      </w:r>
    </w:p>
    <w:p>
      <w:pPr>
        <w:keepNext w:val="0"/>
        <w:keepLines w:val="0"/>
        <w:pageBreakBefore w:val="0"/>
        <w:widowControl w:val="0"/>
        <w:kinsoku/>
        <w:wordWrap/>
        <w:overflowPunct/>
        <w:topLinePunct w:val="0"/>
        <w:autoSpaceDE/>
        <w:autoSpaceDN/>
        <w:bidi w:val="0"/>
        <w:adjustRightInd/>
        <w:snapToGrid/>
        <w:ind w:firstLine="538" w:firstLineChars="200"/>
        <w:jc w:val="left"/>
        <w:textAlignment w:val="auto"/>
        <w:rPr>
          <w:rFonts w:hint="default" w:ascii="宋体" w:hAnsi="宋体" w:eastAsia="等线" w:cs="宋体"/>
          <w:b/>
          <w:bCs/>
          <w:color w:val="auto"/>
          <w:spacing w:val="-6"/>
          <w:kern w:val="2"/>
          <w:sz w:val="28"/>
          <w:szCs w:val="22"/>
          <w:highlight w:val="none"/>
          <w:lang w:val="en-US" w:eastAsia="zh-CN" w:bidi="ar-SA"/>
        </w:rPr>
      </w:pPr>
      <w:r>
        <w:rPr>
          <w:rFonts w:hint="eastAsia" w:ascii="宋体" w:hAnsi="宋体" w:eastAsia="宋体" w:cs="宋体"/>
          <w:b/>
          <w:bCs/>
          <w:color w:val="auto"/>
          <w:spacing w:val="-6"/>
          <w:kern w:val="2"/>
          <w:sz w:val="28"/>
          <w:szCs w:val="22"/>
          <w:highlight w:val="none"/>
          <w:lang w:val="en-US" w:eastAsia="zh-CN" w:bidi="ar-SA"/>
        </w:rPr>
        <w:t>2、园区部分区域</w:t>
      </w:r>
      <w:r>
        <w:rPr>
          <w:rFonts w:hint="default" w:ascii="宋体" w:hAnsi="宋体" w:eastAsia="宋体" w:cs="宋体"/>
          <w:b/>
          <w:bCs/>
          <w:color w:val="auto"/>
          <w:spacing w:val="-6"/>
          <w:kern w:val="2"/>
          <w:sz w:val="28"/>
          <w:szCs w:val="22"/>
          <w:highlight w:val="none"/>
          <w:lang w:val="en-US" w:eastAsia="zh-CN" w:bidi="ar-SA"/>
        </w:rPr>
        <w:t>产业布局</w:t>
      </w:r>
      <w:r>
        <w:rPr>
          <w:rFonts w:hint="eastAsia" w:ascii="宋体" w:hAnsi="宋体" w:eastAsia="宋体" w:cs="宋体"/>
          <w:b/>
          <w:bCs/>
          <w:color w:val="auto"/>
          <w:spacing w:val="-6"/>
          <w:kern w:val="2"/>
          <w:sz w:val="28"/>
          <w:szCs w:val="22"/>
          <w:highlight w:val="none"/>
          <w:lang w:val="en-US" w:eastAsia="zh-CN" w:bidi="ar-SA"/>
        </w:rPr>
        <w:t>未严格按照原规划环评实施要求实施</w:t>
      </w:r>
    </w:p>
    <w:p>
      <w:pPr>
        <w:keepNext w:val="0"/>
        <w:keepLines w:val="0"/>
        <w:widowControl/>
        <w:suppressLineNumbers w:val="0"/>
        <w:ind w:firstLine="536" w:firstLineChars="200"/>
        <w:jc w:val="left"/>
        <w:rPr>
          <w:rFonts w:hint="eastAsia" w:ascii="宋体" w:hAnsi="宋体" w:eastAsia="宋体" w:cs="宋体"/>
          <w:color w:val="auto"/>
          <w:spacing w:val="-6"/>
          <w:kern w:val="2"/>
          <w:sz w:val="28"/>
          <w:szCs w:val="22"/>
          <w:highlight w:val="none"/>
          <w:lang w:val="en-US" w:eastAsia="zh-CN" w:bidi="ar-SA"/>
        </w:rPr>
      </w:pPr>
      <w:r>
        <w:rPr>
          <w:rFonts w:hint="eastAsia" w:ascii="宋体" w:hAnsi="宋体" w:eastAsia="宋体" w:cs="宋体"/>
          <w:color w:val="auto"/>
          <w:spacing w:val="-6"/>
          <w:kern w:val="2"/>
          <w:sz w:val="28"/>
          <w:szCs w:val="22"/>
          <w:highlight w:val="none"/>
          <w:lang w:val="en-US" w:eastAsia="zh-CN" w:bidi="ar-SA"/>
        </w:rPr>
        <w:t>根据《沅陵产业开发区环境影响跟踪评价报告书》相关结论，目前园区产业定位发生了变化，且现有入园企业较少，园区内产业除电子信息产业较为突出外，其余产业发展未形成明显集群。开发区建设并未完全按照功能区划进行开发，部分电子元器件生产企业位于农副食品加工区，原规划的部分工业用地实际上建成了居民安置点，区内还有较多住民尚未拆迁安置，造成居住与工业混杂，限制产业空间布局。</w:t>
      </w:r>
    </w:p>
    <w:p>
      <w:pPr>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eastAsia="宋体" w:cs="宋体"/>
          <w:color w:val="auto"/>
          <w:spacing w:val="-6"/>
          <w:kern w:val="2"/>
          <w:sz w:val="28"/>
          <w:szCs w:val="22"/>
          <w:highlight w:val="none"/>
          <w:lang w:val="en-US" w:eastAsia="zh-CN" w:bidi="ar-SA"/>
        </w:rPr>
      </w:pPr>
      <w:r>
        <w:rPr>
          <w:rFonts w:hint="eastAsia" w:ascii="宋体" w:hAnsi="宋体" w:eastAsia="宋体" w:cs="宋体"/>
          <w:b/>
          <w:bCs/>
          <w:color w:val="auto"/>
          <w:spacing w:val="-6"/>
          <w:kern w:val="2"/>
          <w:sz w:val="28"/>
          <w:szCs w:val="22"/>
          <w:highlight w:val="none"/>
          <w:lang w:val="en-US" w:eastAsia="zh-CN" w:bidi="ar-SA"/>
        </w:rPr>
        <w:t>3、部分园区企业环保意识有待加强</w:t>
      </w:r>
    </w:p>
    <w:p>
      <w:pPr>
        <w:keepNext w:val="0"/>
        <w:keepLines w:val="0"/>
        <w:pageBreakBefore w:val="0"/>
        <w:widowControl w:val="0"/>
        <w:kinsoku/>
        <w:wordWrap/>
        <w:overflowPunct/>
        <w:topLinePunct w:val="0"/>
        <w:autoSpaceDE/>
        <w:autoSpaceDN/>
        <w:bidi w:val="0"/>
        <w:adjustRightInd/>
        <w:snapToGrid/>
        <w:ind w:firstLine="536" w:firstLineChars="200"/>
        <w:textAlignment w:val="auto"/>
        <w:rPr>
          <w:rFonts w:hint="eastAsia" w:ascii="宋体" w:hAnsi="宋体" w:eastAsia="宋体" w:cs="宋体"/>
          <w:color w:val="auto"/>
          <w:spacing w:val="-6"/>
          <w:kern w:val="2"/>
          <w:sz w:val="28"/>
          <w:szCs w:val="22"/>
          <w:highlight w:val="none"/>
          <w:lang w:val="en-US" w:eastAsia="zh-CN" w:bidi="ar-SA"/>
        </w:rPr>
      </w:pPr>
      <w:r>
        <w:rPr>
          <w:rFonts w:hint="eastAsia" w:ascii="宋体" w:hAnsi="宋体" w:eastAsia="宋体" w:cs="宋体"/>
          <w:color w:val="auto"/>
          <w:spacing w:val="-6"/>
          <w:kern w:val="2"/>
          <w:sz w:val="28"/>
          <w:szCs w:val="22"/>
          <w:highlight w:val="none"/>
          <w:lang w:val="en-US" w:eastAsia="zh-CN" w:bidi="ar-SA"/>
        </w:rPr>
        <w:t>2021年度，由于受疫情影响，园区企业生存面临挑战，各项环保工作也因此受到一定的影响。环境风险管理需加强，涉危废产生的企业虽建设了危险废物暂存库（间），但部分企业危废暂存间建设不规范，危废管理台账整理不完善，危废标识牌设立不明确等；部分园区企业环保意识不强，对污染防治设施提质改造意识不强。</w:t>
      </w:r>
    </w:p>
    <w:p>
      <w:pPr>
        <w:keepNext w:val="0"/>
        <w:keepLines w:val="0"/>
        <w:pageBreakBefore w:val="0"/>
        <w:widowControl w:val="0"/>
        <w:numPr>
          <w:ilvl w:val="0"/>
          <w:numId w:val="0"/>
        </w:numPr>
        <w:kinsoku/>
        <w:wordWrap/>
        <w:overflowPunct/>
        <w:topLinePunct w:val="0"/>
        <w:autoSpaceDE/>
        <w:autoSpaceDN/>
        <w:bidi w:val="0"/>
        <w:adjustRightInd/>
        <w:snapToGrid/>
        <w:ind w:firstLine="538" w:firstLineChars="200"/>
        <w:textAlignment w:val="auto"/>
        <w:rPr>
          <w:rFonts w:hint="default" w:ascii="宋体" w:hAnsi="宋体" w:eastAsia="宋体" w:cs="宋体"/>
          <w:b/>
          <w:bCs/>
          <w:color w:val="auto"/>
          <w:spacing w:val="-6"/>
          <w:kern w:val="2"/>
          <w:sz w:val="28"/>
          <w:szCs w:val="22"/>
          <w:highlight w:val="none"/>
          <w:lang w:val="en-US" w:eastAsia="zh-CN" w:bidi="ar-SA"/>
        </w:rPr>
      </w:pPr>
      <w:r>
        <w:rPr>
          <w:rFonts w:hint="eastAsia" w:ascii="宋体" w:hAnsi="宋体" w:eastAsia="宋体" w:cs="宋体"/>
          <w:b/>
          <w:bCs/>
          <w:color w:val="auto"/>
          <w:spacing w:val="-6"/>
          <w:kern w:val="2"/>
          <w:sz w:val="28"/>
          <w:szCs w:val="22"/>
          <w:highlight w:val="none"/>
          <w:lang w:val="en-US" w:eastAsia="zh-CN" w:bidi="ar-SA"/>
        </w:rPr>
        <w:t>4、园区内部分企业环保手续不齐全</w:t>
      </w:r>
    </w:p>
    <w:p>
      <w:pPr>
        <w:pStyle w:val="23"/>
        <w:spacing w:before="0" w:beforeAutospacing="0" w:after="0" w:afterAutospacing="0" w:line="360" w:lineRule="auto"/>
        <w:ind w:firstLine="560" w:firstLineChars="200"/>
        <w:jc w:val="both"/>
        <w:rPr>
          <w:rFonts w:ascii="Times New Roman" w:hAnsi="Times New Roman" w:eastAsia="宋体" w:cs="Times New Roman"/>
          <w:color w:val="auto"/>
          <w:kern w:val="2"/>
          <w:shd w:val="clear" w:color="auto" w:fill="FFFFFF"/>
        </w:rPr>
      </w:pPr>
      <w:r>
        <w:rPr>
          <w:rFonts w:ascii="Times New Roman" w:hAnsi="Times New Roman" w:eastAsia="宋体" w:cs="Times New Roman"/>
          <w:color w:val="auto"/>
          <w:kern w:val="2"/>
          <w:shd w:val="clear" w:color="auto" w:fill="FFFFFF"/>
        </w:rPr>
        <w:t>部分入园企业自发办理环评、验收、应急预案或者排污许可等环保手续积极性不高，对园区现场检查过程中发现的环境问题整改积极性不高。如园区企业还存在部分未按时完成竣工环保验收工作，部分企业未按相关要求编制突发环境事件应急预案。</w:t>
      </w:r>
    </w:p>
    <w:p>
      <w:pPr>
        <w:keepNext w:val="0"/>
        <w:keepLines w:val="0"/>
        <w:pageBreakBefore w:val="0"/>
        <w:widowControl w:val="0"/>
        <w:numPr>
          <w:ilvl w:val="0"/>
          <w:numId w:val="0"/>
        </w:numPr>
        <w:kinsoku/>
        <w:wordWrap/>
        <w:overflowPunct/>
        <w:topLinePunct w:val="0"/>
        <w:autoSpaceDE/>
        <w:autoSpaceDN/>
        <w:bidi w:val="0"/>
        <w:adjustRightInd/>
        <w:snapToGrid/>
        <w:ind w:firstLine="538" w:firstLineChars="200"/>
        <w:textAlignment w:val="auto"/>
        <w:rPr>
          <w:rFonts w:hint="default" w:ascii="宋体" w:hAnsi="宋体" w:eastAsia="宋体" w:cs="宋体"/>
          <w:b/>
          <w:bCs/>
          <w:color w:val="auto"/>
          <w:spacing w:val="-6"/>
          <w:kern w:val="2"/>
          <w:sz w:val="28"/>
          <w:szCs w:val="22"/>
          <w:highlight w:val="none"/>
          <w:lang w:val="en-US" w:eastAsia="zh-CN" w:bidi="ar-SA"/>
        </w:rPr>
      </w:pPr>
      <w:r>
        <w:rPr>
          <w:rFonts w:hint="eastAsia" w:ascii="宋体" w:hAnsi="宋体" w:eastAsia="宋体" w:cs="宋体"/>
          <w:b/>
          <w:bCs/>
          <w:color w:val="auto"/>
          <w:spacing w:val="-6"/>
          <w:kern w:val="2"/>
          <w:sz w:val="28"/>
          <w:szCs w:val="22"/>
          <w:highlight w:val="none"/>
          <w:lang w:val="en-US" w:eastAsia="zh-CN" w:bidi="ar-SA"/>
        </w:rPr>
        <w:t>5、园区对原规划环评制定的园区环境监测计划执行力度不够</w:t>
      </w:r>
    </w:p>
    <w:p>
      <w:pPr>
        <w:pStyle w:val="23"/>
        <w:spacing w:before="0" w:beforeAutospacing="0" w:after="0" w:afterAutospacing="0" w:line="360" w:lineRule="auto"/>
        <w:ind w:firstLine="560" w:firstLineChars="200"/>
        <w:jc w:val="both"/>
        <w:rPr>
          <w:rFonts w:hint="eastAsia" w:ascii="Times New Roman" w:hAnsi="Times New Roman" w:eastAsia="宋体" w:cs="Times New Roman"/>
          <w:color w:val="auto"/>
          <w:kern w:val="2"/>
          <w:shd w:val="clear" w:color="auto" w:fill="FFFFFF"/>
          <w:lang w:val="en-US" w:eastAsia="zh-CN"/>
        </w:rPr>
      </w:pPr>
      <w:r>
        <w:rPr>
          <w:rFonts w:hint="eastAsia" w:ascii="Times New Roman" w:hAnsi="Times New Roman" w:eastAsia="宋体" w:cs="Times New Roman"/>
          <w:color w:val="auto"/>
          <w:kern w:val="2"/>
          <w:shd w:val="clear" w:color="auto" w:fill="FFFFFF"/>
          <w:lang w:val="en-US" w:eastAsia="zh-CN"/>
        </w:rPr>
        <w:t>2021年，园区虽然在开展园区跟踪环境评价工作期间委托开展了一期自行监测，但是对照原规划环评中制定的园区环境自行监测计划，自行监测频次和执行力度还不足。</w:t>
      </w:r>
    </w:p>
    <w:p>
      <w:pPr>
        <w:keepNext w:val="0"/>
        <w:keepLines w:val="0"/>
        <w:pageBreakBefore w:val="0"/>
        <w:widowControl w:val="0"/>
        <w:numPr>
          <w:ilvl w:val="0"/>
          <w:numId w:val="0"/>
        </w:numPr>
        <w:kinsoku/>
        <w:wordWrap/>
        <w:overflowPunct/>
        <w:topLinePunct w:val="0"/>
        <w:autoSpaceDE/>
        <w:autoSpaceDN/>
        <w:bidi w:val="0"/>
        <w:adjustRightInd/>
        <w:snapToGrid/>
        <w:ind w:firstLine="538" w:firstLineChars="200"/>
        <w:textAlignment w:val="auto"/>
        <w:rPr>
          <w:rFonts w:hint="default" w:ascii="宋体" w:hAnsi="宋体" w:eastAsia="宋体" w:cs="宋体"/>
          <w:b/>
          <w:bCs/>
          <w:color w:val="auto"/>
          <w:spacing w:val="-6"/>
          <w:kern w:val="2"/>
          <w:sz w:val="28"/>
          <w:szCs w:val="22"/>
          <w:highlight w:val="none"/>
          <w:lang w:val="en-US" w:eastAsia="zh-CN" w:bidi="ar-SA"/>
        </w:rPr>
      </w:pPr>
      <w:r>
        <w:rPr>
          <w:rFonts w:hint="eastAsia" w:ascii="宋体" w:hAnsi="宋体" w:eastAsia="宋体" w:cs="宋体"/>
          <w:b/>
          <w:bCs/>
          <w:color w:val="auto"/>
          <w:spacing w:val="-6"/>
          <w:kern w:val="2"/>
          <w:sz w:val="28"/>
          <w:szCs w:val="22"/>
          <w:highlight w:val="none"/>
          <w:lang w:val="en-US" w:eastAsia="zh-CN" w:bidi="ar-SA"/>
        </w:rPr>
        <w:t>6、园区尚未完成引进园区环境污染第三方治理工作</w:t>
      </w:r>
    </w:p>
    <w:p>
      <w:pPr>
        <w:pStyle w:val="23"/>
        <w:spacing w:before="0" w:beforeAutospacing="0" w:after="0" w:afterAutospacing="0" w:line="360" w:lineRule="auto"/>
        <w:ind w:firstLine="560" w:firstLineChars="200"/>
        <w:jc w:val="both"/>
        <w:rPr>
          <w:rFonts w:hint="default" w:ascii="Times New Roman" w:hAnsi="Times New Roman" w:eastAsia="宋体" w:cs="Times New Roman"/>
          <w:color w:val="auto"/>
          <w:kern w:val="2"/>
          <w:shd w:val="clear" w:color="auto" w:fill="FFFFFF"/>
          <w:lang w:val="en-US" w:eastAsia="zh-CN"/>
        </w:rPr>
      </w:pPr>
      <w:r>
        <w:rPr>
          <w:rFonts w:hint="eastAsia" w:ascii="Times New Roman" w:hAnsi="Times New Roman" w:eastAsia="宋体" w:cs="Times New Roman"/>
          <w:color w:val="auto"/>
          <w:kern w:val="2"/>
          <w:shd w:val="clear" w:color="auto" w:fill="FFFFFF"/>
          <w:lang w:val="en-US" w:eastAsia="zh-CN"/>
        </w:rPr>
        <w:t>园区正对照</w:t>
      </w:r>
      <w:r>
        <w:rPr>
          <w:rFonts w:hint="eastAsia" w:ascii="Times New Roman" w:hAnsi="Times New Roman" w:eastAsia="宋体" w:cs="Times New Roman"/>
          <w:color w:val="auto"/>
          <w:lang w:val="en-US" w:eastAsia="zh-CN"/>
        </w:rPr>
        <w:t>《湖南省生态环境厅、湖南省发展与改革微会员关于深入推进园区环境污染第三方治理的通知》（湘环发[2021]31号文件要求扎进推进园区环境污染第三方治理工作，</w:t>
      </w:r>
      <w:r>
        <w:rPr>
          <w:rFonts w:hint="eastAsia" w:ascii="Times New Roman" w:hAnsi="Times New Roman" w:eastAsia="宋体" w:cs="Times New Roman"/>
          <w:color w:val="auto"/>
          <w:kern w:val="2"/>
          <w:shd w:val="clear" w:color="auto" w:fill="FFFFFF"/>
          <w:lang w:val="en-US" w:eastAsia="zh-CN"/>
        </w:rPr>
        <w:t>目前，正在积极与相关有资质的第三方公司开展前期的对接和咨询工作。</w:t>
      </w:r>
    </w:p>
    <w:p>
      <w:pPr>
        <w:spacing w:line="360" w:lineRule="auto"/>
        <w:outlineLvl w:val="0"/>
        <w:rPr>
          <w:rFonts w:ascii="Times New Roman" w:hAnsi="Times New Roman" w:cs="Times New Roman" w:eastAsiaTheme="minorEastAsia"/>
          <w:b/>
          <w:color w:val="auto"/>
          <w:szCs w:val="32"/>
        </w:rPr>
      </w:pPr>
      <w:bookmarkStart w:id="25" w:name="_Toc68103691"/>
      <w:r>
        <w:rPr>
          <w:rFonts w:ascii="Times New Roman" w:hAnsi="Times New Roman" w:cs="Times New Roman" w:eastAsiaTheme="minorEastAsia"/>
          <w:b/>
          <w:color w:val="auto"/>
          <w:szCs w:val="32"/>
        </w:rPr>
        <w:t>五、下一步工作计划</w:t>
      </w:r>
      <w:bookmarkEnd w:id="25"/>
    </w:p>
    <w:p>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Times New Roman" w:hAnsi="Times New Roman" w:eastAsia="宋体" w:cs="Times New Roman"/>
          <w:color w:val="auto"/>
          <w:kern w:val="2"/>
          <w:sz w:val="28"/>
          <w:szCs w:val="28"/>
          <w:shd w:val="clear" w:color="auto" w:fill="FFFFFF"/>
          <w:lang w:val="en-US" w:eastAsia="zh-CN" w:bidi="ar-SA"/>
        </w:rPr>
      </w:pPr>
      <w:r>
        <w:rPr>
          <w:rFonts w:hint="eastAsia" w:ascii="Times New Roman" w:hAnsi="Times New Roman" w:eastAsia="宋体" w:cs="Times New Roman"/>
          <w:color w:val="auto"/>
          <w:kern w:val="2"/>
          <w:sz w:val="28"/>
          <w:szCs w:val="28"/>
          <w:shd w:val="clear" w:color="auto" w:fill="FFFFFF"/>
          <w:lang w:val="en-US" w:eastAsia="zh-CN" w:bidi="ar-SA"/>
        </w:rPr>
        <w:t>针对目前园区存在的相关环境问题，以问题为导向，提出相关生态环境管理工作计划安排，进一步规范和加强园区生态环境管理工作，确保园区经济高质量发展。</w:t>
      </w:r>
    </w:p>
    <w:p>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Times New Roman" w:hAnsi="Times New Roman" w:eastAsia="宋体" w:cs="Times New Roman"/>
          <w:color w:val="auto"/>
          <w:kern w:val="2"/>
          <w:sz w:val="28"/>
          <w:szCs w:val="28"/>
          <w:shd w:val="clear" w:color="auto" w:fill="FFFFFF"/>
          <w:lang w:val="en-US" w:eastAsia="zh-CN" w:bidi="ar-SA"/>
        </w:rPr>
      </w:pPr>
      <w:r>
        <w:rPr>
          <w:rFonts w:hint="eastAsia" w:ascii="Times New Roman" w:hAnsi="Times New Roman" w:eastAsia="宋体" w:cs="Times New Roman"/>
          <w:color w:val="auto"/>
          <w:kern w:val="2"/>
          <w:sz w:val="28"/>
          <w:szCs w:val="28"/>
          <w:shd w:val="clear" w:color="auto" w:fill="FFFFFF"/>
          <w:lang w:val="en-US" w:eastAsia="zh-CN" w:bidi="ar-SA"/>
        </w:rPr>
        <w:t>1、高位推进园区调区扩区工作，全面协调发改、自然资源、生态环境等各部门与上级部门工作上的对接，及时沟通协调，加快解决调出置换和新增扩入、主园区不设城市绿地用于居民安置等主要问题，确保在2022年上半年全面完成调区扩区“头号工程”。</w:t>
      </w:r>
    </w:p>
    <w:p>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Times New Roman" w:hAnsi="Times New Roman" w:eastAsia="宋体" w:cs="Times New Roman"/>
          <w:color w:val="auto"/>
          <w:kern w:val="2"/>
          <w:sz w:val="28"/>
          <w:szCs w:val="28"/>
          <w:shd w:val="clear" w:color="auto" w:fill="FFFFFF"/>
          <w:lang w:val="en-US" w:eastAsia="zh-CN" w:bidi="ar-SA"/>
        </w:rPr>
      </w:pPr>
      <w:r>
        <w:rPr>
          <w:rFonts w:hint="eastAsia" w:ascii="Times New Roman" w:hAnsi="Times New Roman" w:eastAsia="宋体" w:cs="Times New Roman"/>
          <w:color w:val="auto"/>
          <w:kern w:val="2"/>
          <w:sz w:val="28"/>
          <w:szCs w:val="28"/>
          <w:shd w:val="clear" w:color="auto" w:fill="FFFFFF"/>
          <w:lang w:val="en-US" w:eastAsia="zh-CN" w:bidi="ar-SA"/>
        </w:rPr>
        <w:t>2、加强与发改、自然资源、工信等部门的沟通，在沅陵县工业用地规划范围内通过用地调整与置换，将园区内现有居民点置换出园区范围，尽快实施向家湾居民点搬迁工作，将临近居民的工业地块调整为一类工业用地，逐步将涉气企业搬迁至远离居住区的二类工业用地地块。并将园区西北部现有几家农副食品加工企业等符合园区产业定位的企业纳入园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Times New Roman"/>
          <w:b/>
          <w:bCs/>
          <w:color w:val="auto"/>
          <w:kern w:val="2"/>
          <w:sz w:val="28"/>
          <w:szCs w:val="28"/>
          <w:shd w:val="clear" w:color="auto" w:fill="FFFFFF"/>
          <w:lang w:val="en-US" w:eastAsia="zh-CN" w:bidi="ar-SA"/>
        </w:rPr>
      </w:pPr>
      <w:r>
        <w:rPr>
          <w:rFonts w:hint="eastAsia" w:ascii="Times New Roman" w:hAnsi="Times New Roman" w:eastAsia="宋体" w:cs="Times New Roman"/>
          <w:color w:val="auto"/>
          <w:kern w:val="2"/>
          <w:sz w:val="28"/>
          <w:szCs w:val="28"/>
          <w:shd w:val="clear" w:color="auto" w:fill="FFFFFF"/>
          <w:lang w:val="en-US" w:eastAsia="zh-CN" w:bidi="ar-SA"/>
        </w:rPr>
        <w:t>3、加强环境风险管理，监督涉及危废的企业按照相应标准建设危险废物暂存库（间），督促整理完善企业危废管理台账、完善危废标识牌的设立。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Times New Roman"/>
          <w:color w:val="auto"/>
          <w:kern w:val="2"/>
          <w:sz w:val="28"/>
          <w:szCs w:val="28"/>
          <w:shd w:val="clear" w:color="auto" w:fill="FFFFFF"/>
          <w:lang w:val="en-US" w:eastAsia="zh-CN" w:bidi="ar-SA"/>
        </w:rPr>
      </w:pPr>
      <w:r>
        <w:rPr>
          <w:rFonts w:hint="eastAsia" w:ascii="Times New Roman" w:hAnsi="Times New Roman" w:eastAsia="宋体" w:cs="Times New Roman"/>
          <w:color w:val="auto"/>
          <w:kern w:val="2"/>
          <w:sz w:val="28"/>
          <w:szCs w:val="28"/>
          <w:shd w:val="clear" w:color="auto" w:fill="FFFFFF"/>
          <w:lang w:val="en-US" w:eastAsia="zh-CN" w:bidi="ar-SA"/>
        </w:rPr>
        <w:t>4、依据建设项目环境影响评价分类管理名录（2021年版）及最新环保政策，协调怀化市生态环境局沅陵分局确定未按要求按时办理环保手续企业的处理方法，督促并帮助新老企业完成环评验收等环保手续的办理，同时做好园区环保的宣传工作，解决老企业的后顾之忧，引导新来企业享受简化审批程序带来的福利，在环保证件、环保制度、环保措施齐备的前提下，快速融入到园区生产建设中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Times New Roman"/>
          <w:color w:val="auto"/>
          <w:kern w:val="2"/>
          <w:sz w:val="28"/>
          <w:szCs w:val="28"/>
          <w:shd w:val="clear" w:color="auto" w:fill="FFFFFF"/>
          <w:lang w:val="en-US" w:eastAsia="zh-CN" w:bidi="ar-SA"/>
        </w:rPr>
      </w:pPr>
      <w:r>
        <w:rPr>
          <w:rFonts w:hint="eastAsia" w:ascii="Times New Roman" w:hAnsi="Times New Roman" w:eastAsia="宋体" w:cs="Times New Roman"/>
          <w:color w:val="auto"/>
          <w:kern w:val="2"/>
          <w:sz w:val="28"/>
          <w:szCs w:val="28"/>
          <w:shd w:val="clear" w:color="auto" w:fill="FFFFFF"/>
          <w:lang w:val="en-US" w:eastAsia="zh-CN" w:bidi="ar-SA"/>
        </w:rPr>
        <w:t>5、严格按照园区跟踪环评中制定的环境监测计划，委托有资质的专业第三方监测公司定期开展监测工作。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宋体" w:cs="Times New Roman"/>
          <w:color w:val="auto"/>
          <w:kern w:val="2"/>
          <w:sz w:val="28"/>
          <w:szCs w:val="28"/>
          <w:shd w:val="clear" w:color="auto" w:fill="FFFFFF"/>
          <w:lang w:val="en-US" w:eastAsia="zh-CN" w:bidi="ar-SA"/>
        </w:rPr>
      </w:pPr>
      <w:r>
        <w:rPr>
          <w:rFonts w:hint="eastAsia" w:ascii="Times New Roman" w:hAnsi="Times New Roman" w:eastAsia="宋体" w:cs="Times New Roman"/>
          <w:color w:val="auto"/>
          <w:kern w:val="2"/>
          <w:sz w:val="28"/>
          <w:szCs w:val="28"/>
          <w:shd w:val="clear" w:color="auto" w:fill="FFFFFF"/>
          <w:lang w:val="en-US" w:eastAsia="zh-CN" w:bidi="ar-SA"/>
        </w:rPr>
        <w:t>6、加快推进园区环境污染第三方治理工作，借助园区环境污染第三方治理专业技术团队的力量，切实提升园区环境污染治理水平和污染物排放管控水平，推动园区绿色健康发展。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Times New Roman"/>
          <w:b/>
          <w:bCs/>
          <w:color w:val="auto"/>
          <w:kern w:val="2"/>
          <w:sz w:val="28"/>
          <w:szCs w:val="28"/>
          <w:shd w:val="clear" w:color="auto" w:fill="FFFFFF"/>
          <w:lang w:val="en-US" w:eastAsia="zh-CN" w:bidi="ar-SA"/>
        </w:rPr>
      </w:pPr>
      <w:r>
        <w:rPr>
          <w:rFonts w:hint="eastAsia" w:ascii="Times New Roman" w:hAnsi="Times New Roman" w:eastAsia="宋体" w:cs="Times New Roman"/>
          <w:color w:val="auto"/>
          <w:kern w:val="2"/>
          <w:sz w:val="28"/>
          <w:szCs w:val="28"/>
          <w:shd w:val="clear" w:color="auto" w:fill="FFFFFF"/>
          <w:lang w:val="en-US" w:eastAsia="zh-CN" w:bidi="ar-SA"/>
        </w:rPr>
        <w:t>7、根据</w:t>
      </w:r>
      <w:r>
        <w:rPr>
          <w:rFonts w:hint="eastAsia" w:ascii="Times New Roman" w:hAnsi="Times New Roman" w:cs="黑体" w:eastAsiaTheme="minorEastAsia"/>
          <w:color w:val="auto"/>
          <w:kern w:val="2"/>
          <w:sz w:val="28"/>
          <w:szCs w:val="28"/>
          <w:lang w:val="en-US" w:eastAsia="zh-CN" w:bidi="ar-SA"/>
        </w:rPr>
        <w:t>省生态环境厅、省发改委、省工信厅、省住建厅等四部门关于印发《规范和加强产业园区工业污水收集处理实施方案（2021-2023年）》（湘环发[2021]41号） ）相关文件要求，</w:t>
      </w:r>
      <w:r>
        <w:rPr>
          <w:rFonts w:hint="eastAsia" w:ascii="Times New Roman" w:hAnsi="Times New Roman" w:eastAsia="宋体" w:cs="Times New Roman"/>
          <w:color w:val="auto"/>
          <w:kern w:val="2"/>
          <w:sz w:val="28"/>
          <w:szCs w:val="28"/>
          <w:shd w:val="clear" w:color="auto" w:fill="FFFFFF"/>
          <w:lang w:val="en-US" w:eastAsia="zh-CN" w:bidi="ar-SA"/>
        </w:rPr>
        <w:t>持续开展园区水</w:t>
      </w:r>
      <w:r>
        <w:rPr>
          <w:rFonts w:hint="default" w:ascii="Times New Roman" w:hAnsi="Times New Roman" w:eastAsia="宋体" w:cs="Times New Roman"/>
          <w:color w:val="auto"/>
          <w:kern w:val="2"/>
          <w:sz w:val="28"/>
          <w:szCs w:val="28"/>
          <w:shd w:val="clear" w:color="auto" w:fill="FFFFFF"/>
          <w:lang w:val="en-US" w:eastAsia="zh-CN" w:bidi="ar-SA"/>
        </w:rPr>
        <w:t>环境问题排查整治</w:t>
      </w:r>
      <w:r>
        <w:rPr>
          <w:rFonts w:hint="eastAsia" w:ascii="Times New Roman" w:hAnsi="Times New Roman" w:eastAsia="宋体" w:cs="Times New Roman"/>
          <w:color w:val="auto"/>
          <w:kern w:val="2"/>
          <w:sz w:val="28"/>
          <w:szCs w:val="28"/>
          <w:shd w:val="clear" w:color="auto" w:fill="FFFFFF"/>
          <w:lang w:val="en-US" w:eastAsia="zh-CN" w:bidi="ar-SA"/>
        </w:rPr>
        <w:t>工作</w:t>
      </w:r>
      <w:r>
        <w:rPr>
          <w:rFonts w:hint="default" w:ascii="Times New Roman" w:hAnsi="Times New Roman" w:eastAsia="宋体" w:cs="Times New Roman"/>
          <w:color w:val="auto"/>
          <w:kern w:val="2"/>
          <w:sz w:val="28"/>
          <w:szCs w:val="28"/>
          <w:shd w:val="clear" w:color="auto" w:fill="FFFFFF"/>
          <w:lang w:val="en-US" w:eastAsia="zh-CN" w:bidi="ar-SA"/>
        </w:rPr>
        <w:t>。针对排查出的问题制定并实施“一园一策”限期整治方案。</w:t>
      </w:r>
      <w:r>
        <w:rPr>
          <w:rFonts w:hint="eastAsia" w:ascii="Times New Roman" w:hAnsi="Times New Roman" w:eastAsia="宋体" w:cs="Times New Roman"/>
          <w:color w:val="auto"/>
          <w:kern w:val="2"/>
          <w:sz w:val="28"/>
          <w:szCs w:val="28"/>
          <w:shd w:val="clear" w:color="auto" w:fill="FFFFFF"/>
          <w:lang w:val="en-US" w:eastAsia="zh-CN" w:bidi="ar-SA"/>
        </w:rPr>
        <w:t>按照省生态环境厅的统一部署和安排，加快建设园区环境信息化监管平台。</w:t>
      </w:r>
    </w:p>
    <w:bookmarkEnd w:id="0"/>
    <w:p>
      <w:pPr>
        <w:pStyle w:val="17"/>
        <w:keepNext w:val="0"/>
        <w:keepLines w:val="0"/>
        <w:pageBreakBefore w:val="0"/>
        <w:widowControl w:val="0"/>
        <w:kinsoku/>
        <w:wordWrap/>
        <w:overflowPunct/>
        <w:topLinePunct w:val="0"/>
        <w:autoSpaceDE/>
        <w:autoSpaceDN/>
        <w:bidi w:val="0"/>
        <w:adjustRightInd/>
        <w:snapToGrid/>
        <w:spacing w:after="0" w:line="600" w:lineRule="exact"/>
        <w:ind w:left="560" w:firstLine="480"/>
        <w:jc w:val="right"/>
        <w:textAlignment w:val="auto"/>
        <w:rPr>
          <w:rFonts w:ascii="Times New Roman" w:hAnsi="Times New Roman" w:eastAsiaTheme="minorEastAsia"/>
          <w:color w:val="auto"/>
          <w:sz w:val="24"/>
          <w:szCs w:val="32"/>
        </w:rPr>
      </w:pPr>
    </w:p>
    <w:p>
      <w:pPr>
        <w:pStyle w:val="17"/>
        <w:keepNext w:val="0"/>
        <w:keepLines w:val="0"/>
        <w:pageBreakBefore w:val="0"/>
        <w:widowControl w:val="0"/>
        <w:kinsoku/>
        <w:wordWrap/>
        <w:overflowPunct/>
        <w:topLinePunct w:val="0"/>
        <w:autoSpaceDE/>
        <w:autoSpaceDN/>
        <w:bidi w:val="0"/>
        <w:adjustRightInd/>
        <w:snapToGrid/>
        <w:spacing w:after="0" w:line="600" w:lineRule="exact"/>
        <w:ind w:left="0" w:leftChars="0" w:firstLine="480"/>
        <w:jc w:val="right"/>
        <w:textAlignment w:val="auto"/>
        <w:rPr>
          <w:rFonts w:ascii="Times New Roman" w:hAnsi="Times New Roman" w:eastAsiaTheme="minorEastAsia"/>
          <w:color w:val="auto"/>
          <w:sz w:val="28"/>
          <w:szCs w:val="32"/>
        </w:rPr>
      </w:pPr>
      <w:r>
        <w:rPr>
          <w:rFonts w:ascii="Times New Roman" w:hAnsi="Times New Roman" w:eastAsiaTheme="minorEastAsia"/>
          <w:color w:val="auto"/>
          <w:sz w:val="24"/>
          <w:szCs w:val="32"/>
        </w:rPr>
        <w:t xml:space="preserve">        </w:t>
      </w:r>
      <w:r>
        <w:rPr>
          <w:rFonts w:ascii="Times New Roman" w:hAnsi="Times New Roman" w:eastAsiaTheme="minorEastAsia"/>
          <w:color w:val="auto"/>
          <w:sz w:val="28"/>
          <w:szCs w:val="32"/>
        </w:rPr>
        <w:t xml:space="preserve"> </w:t>
      </w:r>
      <w:r>
        <w:rPr>
          <w:rFonts w:hint="eastAsia" w:ascii="Times New Roman" w:hAnsi="Times New Roman" w:eastAsiaTheme="minorEastAsia"/>
          <w:color w:val="auto"/>
          <w:spacing w:val="28"/>
          <w:sz w:val="28"/>
          <w:szCs w:val="32"/>
          <w:lang w:eastAsia="zh-CN"/>
        </w:rPr>
        <w:t>沅陵产业开发区</w:t>
      </w:r>
      <w:r>
        <w:rPr>
          <w:rFonts w:ascii="Times New Roman" w:hAnsi="Times New Roman" w:eastAsiaTheme="minorEastAsia"/>
          <w:color w:val="auto"/>
          <w:spacing w:val="28"/>
          <w:sz w:val="28"/>
          <w:szCs w:val="32"/>
        </w:rPr>
        <w:t>管理委员会</w:t>
      </w:r>
    </w:p>
    <w:p>
      <w:pPr>
        <w:pStyle w:val="17"/>
        <w:keepNext w:val="0"/>
        <w:keepLines w:val="0"/>
        <w:pageBreakBefore w:val="0"/>
        <w:widowControl w:val="0"/>
        <w:kinsoku/>
        <w:wordWrap/>
        <w:overflowPunct/>
        <w:topLinePunct w:val="0"/>
        <w:autoSpaceDE/>
        <w:autoSpaceDN/>
        <w:bidi w:val="0"/>
        <w:adjustRightInd/>
        <w:snapToGrid/>
        <w:spacing w:after="0" w:line="600" w:lineRule="exact"/>
        <w:ind w:left="0" w:leftChars="0" w:firstLine="560"/>
        <w:jc w:val="right"/>
        <w:textAlignment w:val="auto"/>
        <w:rPr>
          <w:rFonts w:ascii="Times New Roman" w:hAnsi="Times New Roman" w:eastAsiaTheme="minorEastAsia"/>
          <w:color w:val="auto"/>
          <w:sz w:val="28"/>
          <w:szCs w:val="32"/>
        </w:rPr>
      </w:pPr>
      <w:r>
        <w:rPr>
          <w:rFonts w:ascii="Times New Roman" w:hAnsi="Times New Roman" w:eastAsiaTheme="minorEastAsia"/>
          <w:color w:val="auto"/>
          <w:sz w:val="28"/>
          <w:szCs w:val="32"/>
        </w:rPr>
        <w:t xml:space="preserve">                   202</w:t>
      </w:r>
      <w:r>
        <w:rPr>
          <w:rFonts w:hint="eastAsia" w:ascii="Times New Roman" w:hAnsi="Times New Roman" w:eastAsiaTheme="minorEastAsia"/>
          <w:color w:val="auto"/>
          <w:sz w:val="28"/>
          <w:szCs w:val="32"/>
          <w:lang w:val="en-US" w:eastAsia="zh-CN"/>
        </w:rPr>
        <w:t>2</w:t>
      </w:r>
      <w:r>
        <w:rPr>
          <w:rFonts w:ascii="Times New Roman" w:hAnsi="Times New Roman" w:eastAsiaTheme="minorEastAsia"/>
          <w:color w:val="auto"/>
          <w:sz w:val="28"/>
          <w:szCs w:val="32"/>
        </w:rPr>
        <w:t>年</w:t>
      </w:r>
      <w:r>
        <w:rPr>
          <w:rFonts w:hint="eastAsia" w:ascii="Times New Roman" w:hAnsi="Times New Roman" w:eastAsiaTheme="minorEastAsia"/>
          <w:color w:val="auto"/>
          <w:sz w:val="28"/>
          <w:szCs w:val="32"/>
          <w:lang w:val="en-US" w:eastAsia="zh-CN"/>
        </w:rPr>
        <w:t>2</w:t>
      </w:r>
      <w:r>
        <w:rPr>
          <w:rFonts w:ascii="Times New Roman" w:hAnsi="Times New Roman" w:eastAsiaTheme="minorEastAsia"/>
          <w:color w:val="auto"/>
          <w:sz w:val="28"/>
          <w:szCs w:val="32"/>
        </w:rPr>
        <w:t>月</w:t>
      </w:r>
      <w:r>
        <w:rPr>
          <w:rFonts w:hint="eastAsia" w:ascii="Times New Roman" w:hAnsi="Times New Roman" w:eastAsiaTheme="minorEastAsia"/>
          <w:color w:val="auto"/>
          <w:sz w:val="28"/>
          <w:szCs w:val="32"/>
          <w:lang w:val="en-US" w:eastAsia="zh-CN"/>
        </w:rPr>
        <w:t>12</w:t>
      </w:r>
      <w:r>
        <w:rPr>
          <w:rFonts w:ascii="Times New Roman" w:hAnsi="Times New Roman" w:eastAsiaTheme="minorEastAsia"/>
          <w:color w:val="auto"/>
          <w:sz w:val="28"/>
          <w:szCs w:val="32"/>
        </w:rPr>
        <w:t>日</w:t>
      </w: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534035" cy="230505"/>
                      </a:xfrm>
                      <a:prstGeom prst="rect">
                        <a:avLst/>
                      </a:prstGeom>
                      <a:noFill/>
                      <a:ln>
                        <a:noFill/>
                      </a:ln>
                    </wps:spPr>
                    <wps:txbx>
                      <w:txbxContent>
                        <w:p>
                          <w:pPr>
                            <w:pStyle w:val="11"/>
                            <w:jc w:val="center"/>
                            <w:rPr>
                              <w:sz w:val="11"/>
                            </w:rPr>
                          </w:pPr>
                          <w:r>
                            <w:rPr>
                              <w:rFonts w:hint="eastAsia" w:ascii="仿宋_GB2312" w:hAnsi="仿宋_GB2312" w:eastAsia="仿宋_GB2312" w:cs="仿宋_GB2312"/>
                              <w:sz w:val="20"/>
                              <w:szCs w:val="28"/>
                            </w:rPr>
                            <w:fldChar w:fldCharType="begin"/>
                          </w:r>
                          <w:r>
                            <w:rPr>
                              <w:rFonts w:hint="eastAsia" w:ascii="仿宋_GB2312" w:hAnsi="仿宋_GB2312" w:eastAsia="仿宋_GB2312" w:cs="仿宋_GB2312"/>
                              <w:sz w:val="20"/>
                              <w:szCs w:val="28"/>
                            </w:rPr>
                            <w:instrText xml:space="preserve">PAGE   \* MERGEFORMAT</w:instrText>
                          </w:r>
                          <w:r>
                            <w:rPr>
                              <w:rFonts w:hint="eastAsia" w:ascii="仿宋_GB2312" w:hAnsi="仿宋_GB2312" w:eastAsia="仿宋_GB2312" w:cs="仿宋_GB2312"/>
                              <w:sz w:val="20"/>
                              <w:szCs w:val="28"/>
                            </w:rPr>
                            <w:fldChar w:fldCharType="separate"/>
                          </w:r>
                          <w:r>
                            <w:rPr>
                              <w:rFonts w:ascii="仿宋_GB2312" w:hAnsi="仿宋_GB2312" w:eastAsia="仿宋_GB2312" w:cs="仿宋_GB2312"/>
                              <w:sz w:val="20"/>
                              <w:szCs w:val="28"/>
                              <w:lang w:val="zh-CN"/>
                            </w:rPr>
                            <w:t>22</w:t>
                          </w:r>
                          <w:r>
                            <w:rPr>
                              <w:rFonts w:hint="eastAsia" w:ascii="仿宋_GB2312" w:hAnsi="仿宋_GB2312" w:eastAsia="仿宋_GB2312" w:cs="仿宋_GB2312"/>
                              <w:sz w:val="20"/>
                              <w:szCs w:val="28"/>
                            </w:rP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8.15pt;width:42.05pt;mso-position-horizontal:center;mso-position-horizontal-relative:margin;mso-wrap-style:none;z-index:251661312;mso-width-relative:page;mso-height-relative:page;" filled="f" stroked="f" coordsize="21600,21600" o:gfxdata="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rOD20gAAAAMBAAAPAAAAAAAAAAEAIAAAACIAAABkcnMvZG93bnJl&#10;di54bWxQSwECFAAUAAAACACHTuJA/lVvQAMCAAD4AwAADgAAAAAAAAABACAAAAAhAQAAZHJzL2Uy&#10;b0RvYy54bWxQSwUGAAAAAAYABgBZAQAAlgUAAAAA&#10;">
              <v:fill on="f" focussize="0,0"/>
              <v:stroke on="f"/>
              <v:imagedata o:title=""/>
              <o:lock v:ext="edit" aspectratio="f"/>
              <v:textbox inset="0mm,0mm,0mm,0mm" style="mso-fit-shape-to-text:t;">
                <w:txbxContent>
                  <w:p>
                    <w:pPr>
                      <w:pStyle w:val="11"/>
                      <w:jc w:val="center"/>
                      <w:rPr>
                        <w:sz w:val="11"/>
                      </w:rPr>
                    </w:pPr>
                    <w:r>
                      <w:rPr>
                        <w:rFonts w:hint="eastAsia" w:ascii="仿宋_GB2312" w:hAnsi="仿宋_GB2312" w:eastAsia="仿宋_GB2312" w:cs="仿宋_GB2312"/>
                        <w:sz w:val="20"/>
                        <w:szCs w:val="28"/>
                      </w:rPr>
                      <w:fldChar w:fldCharType="begin"/>
                    </w:r>
                    <w:r>
                      <w:rPr>
                        <w:rFonts w:hint="eastAsia" w:ascii="仿宋_GB2312" w:hAnsi="仿宋_GB2312" w:eastAsia="仿宋_GB2312" w:cs="仿宋_GB2312"/>
                        <w:sz w:val="20"/>
                        <w:szCs w:val="28"/>
                      </w:rPr>
                      <w:instrText xml:space="preserve">PAGE   \* MERGEFORMAT</w:instrText>
                    </w:r>
                    <w:r>
                      <w:rPr>
                        <w:rFonts w:hint="eastAsia" w:ascii="仿宋_GB2312" w:hAnsi="仿宋_GB2312" w:eastAsia="仿宋_GB2312" w:cs="仿宋_GB2312"/>
                        <w:sz w:val="20"/>
                        <w:szCs w:val="28"/>
                      </w:rPr>
                      <w:fldChar w:fldCharType="separate"/>
                    </w:r>
                    <w:r>
                      <w:rPr>
                        <w:rFonts w:ascii="仿宋_GB2312" w:hAnsi="仿宋_GB2312" w:eastAsia="仿宋_GB2312" w:cs="仿宋_GB2312"/>
                        <w:sz w:val="20"/>
                        <w:szCs w:val="28"/>
                        <w:lang w:val="zh-CN"/>
                      </w:rPr>
                      <w:t>22</w:t>
                    </w:r>
                    <w:r>
                      <w:rPr>
                        <w:rFonts w:hint="eastAsia" w:ascii="仿宋_GB2312" w:hAnsi="仿宋_GB2312" w:eastAsia="仿宋_GB2312" w:cs="仿宋_GB2312"/>
                        <w:sz w:val="20"/>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91CEB"/>
    <w:multiLevelType w:val="multilevel"/>
    <w:tmpl w:val="0DC91CEB"/>
    <w:lvl w:ilvl="0" w:tentative="0">
      <w:start w:val="1"/>
      <w:numFmt w:val="chineseCountingThousand"/>
      <w:lvlText w:val="第%1章  "/>
      <w:lvlJc w:val="left"/>
      <w:pPr>
        <w:ind w:left="2269" w:firstLine="0"/>
      </w:pPr>
      <w:rPr>
        <w:rFonts w:hint="default" w:ascii="Times New Roman" w:hAnsi="Times New Roman" w:eastAsia="宋体"/>
        <w:b/>
        <w:i w:val="0"/>
        <w:sz w:val="36"/>
        <w:szCs w:val="36"/>
      </w:rPr>
    </w:lvl>
    <w:lvl w:ilvl="1" w:tentative="0">
      <w:start w:val="1"/>
      <w:numFmt w:val="decimal"/>
      <w:isLgl/>
      <w:suff w:val="space"/>
      <w:lvlText w:val="%1.%2 "/>
      <w:lvlJc w:val="left"/>
      <w:pPr>
        <w:ind w:left="2127" w:firstLine="0"/>
      </w:pPr>
      <w:rPr>
        <w:rFonts w:hint="default" w:ascii="Times New Roman" w:hAnsi="Times New Roman" w:eastAsia="黑体"/>
        <w:b/>
        <w:i w:val="0"/>
        <w:sz w:val="32"/>
        <w:szCs w:val="32"/>
      </w:rPr>
    </w:lvl>
    <w:lvl w:ilvl="2" w:tentative="0">
      <w:start w:val="1"/>
      <w:numFmt w:val="decimal"/>
      <w:isLgl/>
      <w:suff w:val="space"/>
      <w:lvlText w:val="%1.%2.%3 "/>
      <w:lvlJc w:val="left"/>
      <w:pPr>
        <w:ind w:left="0" w:firstLine="0"/>
      </w:pPr>
      <w:rPr>
        <w:rFonts w:hint="default" w:ascii="Times New Roman" w:hAnsi="Times New Roman" w:eastAsia="黑体"/>
        <w:b/>
        <w:i w:val="0"/>
        <w:color w:val="auto"/>
        <w:sz w:val="30"/>
      </w:rPr>
    </w:lvl>
    <w:lvl w:ilvl="3" w:tentative="0">
      <w:start w:val="1"/>
      <w:numFmt w:val="decimal"/>
      <w:isLgl/>
      <w:suff w:val="space"/>
      <w:lvlText w:val="%1.%2.%3.%4 "/>
      <w:lvlJc w:val="left"/>
      <w:pPr>
        <w:ind w:left="-1843" w:firstLine="0"/>
      </w:pPr>
      <w:rPr>
        <w:rFonts w:hint="default" w:ascii="Times New Roman" w:hAnsi="Times New Roman" w:eastAsia="黑体"/>
        <w:b/>
        <w:i w:val="0"/>
        <w:sz w:val="24"/>
      </w:rPr>
    </w:lvl>
    <w:lvl w:ilvl="4" w:tentative="0">
      <w:start w:val="1"/>
      <w:numFmt w:val="decimal"/>
      <w:lvlRestart w:val="2"/>
      <w:pStyle w:val="50"/>
      <w:isLgl/>
      <w:suff w:val="space"/>
      <w:lvlText w:val="表 %1.%2-%5  "/>
      <w:lvlJc w:val="left"/>
      <w:pPr>
        <w:ind w:left="-1843" w:firstLine="0"/>
      </w:pPr>
      <w:rPr>
        <w:rFonts w:hint="default" w:ascii="Times New Roman" w:hAnsi="Times New Roman" w:eastAsia="宋体" w:cs="Times New Roman"/>
        <w:b/>
        <w:bCs w:val="0"/>
        <w:i w:val="0"/>
        <w:iCs w:val="0"/>
        <w:caps w:val="0"/>
        <w:strike w:val="0"/>
        <w:dstrike w:val="0"/>
        <w:vanish w:val="0"/>
        <w:spacing w:val="0"/>
        <w:position w:val="0"/>
        <w:sz w:val="21"/>
        <w:u w:val="none"/>
        <w:vertAlign w:val="baseline"/>
      </w:rPr>
    </w:lvl>
    <w:lvl w:ilvl="5" w:tentative="0">
      <w:start w:val="1"/>
      <w:numFmt w:val="decimal"/>
      <w:lvlRestart w:val="2"/>
      <w:isLgl/>
      <w:suff w:val="space"/>
      <w:lvlText w:val="图 %1.%2-%6  "/>
      <w:lvlJc w:val="left"/>
      <w:pPr>
        <w:ind w:left="-1843" w:firstLine="0"/>
      </w:pPr>
      <w:rPr>
        <w:rFonts w:hint="default" w:ascii="Times New Roman" w:hAnsi="Times New Roman" w:eastAsia="宋体"/>
        <w:b/>
        <w:i w:val="0"/>
        <w:sz w:val="21"/>
      </w:rPr>
    </w:lvl>
    <w:lvl w:ilvl="6" w:tentative="0">
      <w:start w:val="1"/>
      <w:numFmt w:val="decimal"/>
      <w:lvlText w:val="%1.%2.%3.%4.%5.%6.%7"/>
      <w:lvlJc w:val="left"/>
      <w:pPr>
        <w:ind w:left="-547" w:hanging="1296"/>
      </w:pPr>
      <w:rPr>
        <w:rFonts w:hint="eastAsia"/>
      </w:rPr>
    </w:lvl>
    <w:lvl w:ilvl="7" w:tentative="0">
      <w:start w:val="1"/>
      <w:numFmt w:val="decimal"/>
      <w:lvlText w:val="%1.%2.%3.%4.%5.%6.%7.%8"/>
      <w:lvlJc w:val="left"/>
      <w:pPr>
        <w:ind w:left="-403" w:hanging="1440"/>
      </w:pPr>
      <w:rPr>
        <w:rFonts w:hint="eastAsia"/>
      </w:rPr>
    </w:lvl>
    <w:lvl w:ilvl="8" w:tentative="0">
      <w:start w:val="1"/>
      <w:numFmt w:val="decimal"/>
      <w:lvlText w:val="%1.%2.%3.%4.%5.%6.%7.%8.%9"/>
      <w:lvlJc w:val="left"/>
      <w:pPr>
        <w:ind w:left="-259"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98"/>
    <w:rsid w:val="00001640"/>
    <w:rsid w:val="00001AFC"/>
    <w:rsid w:val="0000258E"/>
    <w:rsid w:val="00006D23"/>
    <w:rsid w:val="00011C67"/>
    <w:rsid w:val="00015D1E"/>
    <w:rsid w:val="0002197C"/>
    <w:rsid w:val="00033480"/>
    <w:rsid w:val="000343AA"/>
    <w:rsid w:val="00040864"/>
    <w:rsid w:val="0004202B"/>
    <w:rsid w:val="0004537C"/>
    <w:rsid w:val="00045527"/>
    <w:rsid w:val="00064921"/>
    <w:rsid w:val="00082075"/>
    <w:rsid w:val="00087E6F"/>
    <w:rsid w:val="00090870"/>
    <w:rsid w:val="00092D51"/>
    <w:rsid w:val="00093AA2"/>
    <w:rsid w:val="00093D3A"/>
    <w:rsid w:val="000A0B92"/>
    <w:rsid w:val="000A3CF9"/>
    <w:rsid w:val="000A7FCB"/>
    <w:rsid w:val="000B4891"/>
    <w:rsid w:val="000B5F48"/>
    <w:rsid w:val="000B7469"/>
    <w:rsid w:val="000C281E"/>
    <w:rsid w:val="000C2F3B"/>
    <w:rsid w:val="000C328C"/>
    <w:rsid w:val="000C3619"/>
    <w:rsid w:val="000C5555"/>
    <w:rsid w:val="000D0729"/>
    <w:rsid w:val="000D10D6"/>
    <w:rsid w:val="000D262F"/>
    <w:rsid w:val="000E126C"/>
    <w:rsid w:val="000F069F"/>
    <w:rsid w:val="000F6015"/>
    <w:rsid w:val="00101EBB"/>
    <w:rsid w:val="00106604"/>
    <w:rsid w:val="00115070"/>
    <w:rsid w:val="00115A39"/>
    <w:rsid w:val="0011725E"/>
    <w:rsid w:val="001209B9"/>
    <w:rsid w:val="001232D3"/>
    <w:rsid w:val="00131663"/>
    <w:rsid w:val="00144C8E"/>
    <w:rsid w:val="001469DA"/>
    <w:rsid w:val="001523F0"/>
    <w:rsid w:val="00152E71"/>
    <w:rsid w:val="00161ECF"/>
    <w:rsid w:val="00163A62"/>
    <w:rsid w:val="00164577"/>
    <w:rsid w:val="00167599"/>
    <w:rsid w:val="00175737"/>
    <w:rsid w:val="0017642B"/>
    <w:rsid w:val="001770AF"/>
    <w:rsid w:val="0018595D"/>
    <w:rsid w:val="00190746"/>
    <w:rsid w:val="00193309"/>
    <w:rsid w:val="001948EF"/>
    <w:rsid w:val="001A076D"/>
    <w:rsid w:val="001A5190"/>
    <w:rsid w:val="001A7C9D"/>
    <w:rsid w:val="001B4867"/>
    <w:rsid w:val="001C1F89"/>
    <w:rsid w:val="001C58D3"/>
    <w:rsid w:val="001E457E"/>
    <w:rsid w:val="001F3D78"/>
    <w:rsid w:val="001F7A0B"/>
    <w:rsid w:val="001F7CE6"/>
    <w:rsid w:val="00200C7F"/>
    <w:rsid w:val="002037A4"/>
    <w:rsid w:val="00203B35"/>
    <w:rsid w:val="00220AAA"/>
    <w:rsid w:val="00233A0A"/>
    <w:rsid w:val="00234053"/>
    <w:rsid w:val="00235968"/>
    <w:rsid w:val="00235D91"/>
    <w:rsid w:val="0023699E"/>
    <w:rsid w:val="00237F80"/>
    <w:rsid w:val="00244397"/>
    <w:rsid w:val="00252130"/>
    <w:rsid w:val="00260467"/>
    <w:rsid w:val="002652ED"/>
    <w:rsid w:val="002739AD"/>
    <w:rsid w:val="00274C01"/>
    <w:rsid w:val="0027619C"/>
    <w:rsid w:val="002802D1"/>
    <w:rsid w:val="0028119E"/>
    <w:rsid w:val="00286BE8"/>
    <w:rsid w:val="00286D44"/>
    <w:rsid w:val="0028777A"/>
    <w:rsid w:val="00291CB0"/>
    <w:rsid w:val="00296343"/>
    <w:rsid w:val="002967BC"/>
    <w:rsid w:val="002A2F87"/>
    <w:rsid w:val="002A57EA"/>
    <w:rsid w:val="002B38EE"/>
    <w:rsid w:val="002C1B0D"/>
    <w:rsid w:val="002C482C"/>
    <w:rsid w:val="002C5B3E"/>
    <w:rsid w:val="002D3950"/>
    <w:rsid w:val="002D44CF"/>
    <w:rsid w:val="002D6609"/>
    <w:rsid w:val="002E5786"/>
    <w:rsid w:val="003023F5"/>
    <w:rsid w:val="00304BC8"/>
    <w:rsid w:val="00305C40"/>
    <w:rsid w:val="0031255D"/>
    <w:rsid w:val="00312B01"/>
    <w:rsid w:val="00313E80"/>
    <w:rsid w:val="00321CE4"/>
    <w:rsid w:val="00330D58"/>
    <w:rsid w:val="003403F5"/>
    <w:rsid w:val="003478C8"/>
    <w:rsid w:val="00352F7F"/>
    <w:rsid w:val="00365110"/>
    <w:rsid w:val="00365F78"/>
    <w:rsid w:val="003716B1"/>
    <w:rsid w:val="003824C5"/>
    <w:rsid w:val="00384FCB"/>
    <w:rsid w:val="00394794"/>
    <w:rsid w:val="003A00F3"/>
    <w:rsid w:val="003A0597"/>
    <w:rsid w:val="003A43D9"/>
    <w:rsid w:val="003B14FB"/>
    <w:rsid w:val="003B1881"/>
    <w:rsid w:val="003B5741"/>
    <w:rsid w:val="003D0DBA"/>
    <w:rsid w:val="003E628A"/>
    <w:rsid w:val="003F1892"/>
    <w:rsid w:val="003F3C1D"/>
    <w:rsid w:val="003F3F0B"/>
    <w:rsid w:val="003F6E39"/>
    <w:rsid w:val="003F7F6A"/>
    <w:rsid w:val="0040065A"/>
    <w:rsid w:val="0041303E"/>
    <w:rsid w:val="00420226"/>
    <w:rsid w:val="00421361"/>
    <w:rsid w:val="00422033"/>
    <w:rsid w:val="00425ECB"/>
    <w:rsid w:val="004317D6"/>
    <w:rsid w:val="0043318C"/>
    <w:rsid w:val="00442622"/>
    <w:rsid w:val="004456EC"/>
    <w:rsid w:val="0045601E"/>
    <w:rsid w:val="00463FE7"/>
    <w:rsid w:val="00465E10"/>
    <w:rsid w:val="00471E73"/>
    <w:rsid w:val="004739F5"/>
    <w:rsid w:val="00476282"/>
    <w:rsid w:val="004A0F51"/>
    <w:rsid w:val="004C1638"/>
    <w:rsid w:val="004C6B04"/>
    <w:rsid w:val="004C74EC"/>
    <w:rsid w:val="004E0F48"/>
    <w:rsid w:val="004E7CB8"/>
    <w:rsid w:val="004F0A70"/>
    <w:rsid w:val="004F2B47"/>
    <w:rsid w:val="004F31A9"/>
    <w:rsid w:val="004F4CF3"/>
    <w:rsid w:val="004F57CD"/>
    <w:rsid w:val="00505C4D"/>
    <w:rsid w:val="00506CDE"/>
    <w:rsid w:val="005071F0"/>
    <w:rsid w:val="00510C68"/>
    <w:rsid w:val="00511BBC"/>
    <w:rsid w:val="005127F6"/>
    <w:rsid w:val="005140B3"/>
    <w:rsid w:val="00517321"/>
    <w:rsid w:val="00521DF0"/>
    <w:rsid w:val="00532054"/>
    <w:rsid w:val="00532CA5"/>
    <w:rsid w:val="00543560"/>
    <w:rsid w:val="00546C02"/>
    <w:rsid w:val="005604D4"/>
    <w:rsid w:val="005618E7"/>
    <w:rsid w:val="0057187C"/>
    <w:rsid w:val="00573CB7"/>
    <w:rsid w:val="00574F85"/>
    <w:rsid w:val="00580EDD"/>
    <w:rsid w:val="00581115"/>
    <w:rsid w:val="0058707D"/>
    <w:rsid w:val="00591D88"/>
    <w:rsid w:val="0059325E"/>
    <w:rsid w:val="005955B1"/>
    <w:rsid w:val="00596139"/>
    <w:rsid w:val="005A035A"/>
    <w:rsid w:val="005A4F49"/>
    <w:rsid w:val="005A53B6"/>
    <w:rsid w:val="005B5568"/>
    <w:rsid w:val="005C0528"/>
    <w:rsid w:val="005C4119"/>
    <w:rsid w:val="005D4A37"/>
    <w:rsid w:val="006043A7"/>
    <w:rsid w:val="00604F32"/>
    <w:rsid w:val="006065E6"/>
    <w:rsid w:val="00606BB2"/>
    <w:rsid w:val="006156D8"/>
    <w:rsid w:val="0061758C"/>
    <w:rsid w:val="00620135"/>
    <w:rsid w:val="00621444"/>
    <w:rsid w:val="00623B10"/>
    <w:rsid w:val="00624B8A"/>
    <w:rsid w:val="0064437A"/>
    <w:rsid w:val="00650C76"/>
    <w:rsid w:val="00651523"/>
    <w:rsid w:val="006567DC"/>
    <w:rsid w:val="00661A51"/>
    <w:rsid w:val="006627CE"/>
    <w:rsid w:val="00664457"/>
    <w:rsid w:val="006748A1"/>
    <w:rsid w:val="006769B7"/>
    <w:rsid w:val="00694C70"/>
    <w:rsid w:val="006974B7"/>
    <w:rsid w:val="006B2781"/>
    <w:rsid w:val="006B424C"/>
    <w:rsid w:val="006C5E66"/>
    <w:rsid w:val="006C7869"/>
    <w:rsid w:val="006D15A1"/>
    <w:rsid w:val="006D17EC"/>
    <w:rsid w:val="006D1B54"/>
    <w:rsid w:val="006D1ED8"/>
    <w:rsid w:val="006D249E"/>
    <w:rsid w:val="006E0B40"/>
    <w:rsid w:val="006E380A"/>
    <w:rsid w:val="006F0136"/>
    <w:rsid w:val="006F5BD4"/>
    <w:rsid w:val="007001D8"/>
    <w:rsid w:val="0070308E"/>
    <w:rsid w:val="0070324C"/>
    <w:rsid w:val="00706767"/>
    <w:rsid w:val="00714444"/>
    <w:rsid w:val="007162A6"/>
    <w:rsid w:val="007229DE"/>
    <w:rsid w:val="007318CE"/>
    <w:rsid w:val="00731982"/>
    <w:rsid w:val="00737088"/>
    <w:rsid w:val="00737FCC"/>
    <w:rsid w:val="00743D0F"/>
    <w:rsid w:val="00753B33"/>
    <w:rsid w:val="007573A3"/>
    <w:rsid w:val="00764AA8"/>
    <w:rsid w:val="007707A4"/>
    <w:rsid w:val="00772C78"/>
    <w:rsid w:val="00773B61"/>
    <w:rsid w:val="00782C17"/>
    <w:rsid w:val="00784FB5"/>
    <w:rsid w:val="0079003F"/>
    <w:rsid w:val="007949FA"/>
    <w:rsid w:val="00795C2D"/>
    <w:rsid w:val="007A2C07"/>
    <w:rsid w:val="007A7DE8"/>
    <w:rsid w:val="007C4B3C"/>
    <w:rsid w:val="007C5747"/>
    <w:rsid w:val="007D2155"/>
    <w:rsid w:val="007D4D06"/>
    <w:rsid w:val="007D6DF6"/>
    <w:rsid w:val="007E56A4"/>
    <w:rsid w:val="007F2DF5"/>
    <w:rsid w:val="007F4886"/>
    <w:rsid w:val="007F7B37"/>
    <w:rsid w:val="0080388E"/>
    <w:rsid w:val="00806116"/>
    <w:rsid w:val="00811F65"/>
    <w:rsid w:val="00812A97"/>
    <w:rsid w:val="00813475"/>
    <w:rsid w:val="0081735E"/>
    <w:rsid w:val="00817460"/>
    <w:rsid w:val="008220B5"/>
    <w:rsid w:val="00823DFA"/>
    <w:rsid w:val="00825D22"/>
    <w:rsid w:val="00825E63"/>
    <w:rsid w:val="00826DDB"/>
    <w:rsid w:val="00833089"/>
    <w:rsid w:val="00834BBD"/>
    <w:rsid w:val="008420C1"/>
    <w:rsid w:val="00845A70"/>
    <w:rsid w:val="00850087"/>
    <w:rsid w:val="008525E7"/>
    <w:rsid w:val="008563FB"/>
    <w:rsid w:val="00861E1D"/>
    <w:rsid w:val="008621CE"/>
    <w:rsid w:val="00862881"/>
    <w:rsid w:val="008659F5"/>
    <w:rsid w:val="0086716F"/>
    <w:rsid w:val="00867D4A"/>
    <w:rsid w:val="00875C8C"/>
    <w:rsid w:val="0087677B"/>
    <w:rsid w:val="008777FE"/>
    <w:rsid w:val="00882B47"/>
    <w:rsid w:val="00885398"/>
    <w:rsid w:val="00892DD9"/>
    <w:rsid w:val="008A325C"/>
    <w:rsid w:val="008A65A6"/>
    <w:rsid w:val="008B05E2"/>
    <w:rsid w:val="008B4B10"/>
    <w:rsid w:val="008B597D"/>
    <w:rsid w:val="008B78D2"/>
    <w:rsid w:val="008C2D63"/>
    <w:rsid w:val="008D2D6E"/>
    <w:rsid w:val="008D533B"/>
    <w:rsid w:val="008F0849"/>
    <w:rsid w:val="008F0F88"/>
    <w:rsid w:val="00902540"/>
    <w:rsid w:val="00907DA3"/>
    <w:rsid w:val="0091147B"/>
    <w:rsid w:val="009136B8"/>
    <w:rsid w:val="00921823"/>
    <w:rsid w:val="00921BEB"/>
    <w:rsid w:val="00923410"/>
    <w:rsid w:val="00924D46"/>
    <w:rsid w:val="00925FB8"/>
    <w:rsid w:val="009309E8"/>
    <w:rsid w:val="0093538C"/>
    <w:rsid w:val="00941524"/>
    <w:rsid w:val="00941F45"/>
    <w:rsid w:val="00943A0C"/>
    <w:rsid w:val="00945D82"/>
    <w:rsid w:val="009565CD"/>
    <w:rsid w:val="0096118C"/>
    <w:rsid w:val="00966295"/>
    <w:rsid w:val="009759AC"/>
    <w:rsid w:val="00993FFC"/>
    <w:rsid w:val="00995D1D"/>
    <w:rsid w:val="009A162F"/>
    <w:rsid w:val="009A58D0"/>
    <w:rsid w:val="009B1486"/>
    <w:rsid w:val="009B2D86"/>
    <w:rsid w:val="009B342D"/>
    <w:rsid w:val="009C47C5"/>
    <w:rsid w:val="009C534F"/>
    <w:rsid w:val="009C5999"/>
    <w:rsid w:val="009C6AE5"/>
    <w:rsid w:val="009D4449"/>
    <w:rsid w:val="009E06C5"/>
    <w:rsid w:val="009E5A7D"/>
    <w:rsid w:val="009F310B"/>
    <w:rsid w:val="009F7613"/>
    <w:rsid w:val="00A0016F"/>
    <w:rsid w:val="00A0532B"/>
    <w:rsid w:val="00A062D1"/>
    <w:rsid w:val="00A07498"/>
    <w:rsid w:val="00A12E59"/>
    <w:rsid w:val="00A209E7"/>
    <w:rsid w:val="00A24E6C"/>
    <w:rsid w:val="00A27F7E"/>
    <w:rsid w:val="00A30170"/>
    <w:rsid w:val="00A30DCD"/>
    <w:rsid w:val="00A354B0"/>
    <w:rsid w:val="00A41C07"/>
    <w:rsid w:val="00A535C0"/>
    <w:rsid w:val="00A56B1B"/>
    <w:rsid w:val="00A6453A"/>
    <w:rsid w:val="00A71DB5"/>
    <w:rsid w:val="00A76538"/>
    <w:rsid w:val="00A80214"/>
    <w:rsid w:val="00A838B4"/>
    <w:rsid w:val="00A8594F"/>
    <w:rsid w:val="00A860DE"/>
    <w:rsid w:val="00A90793"/>
    <w:rsid w:val="00A91795"/>
    <w:rsid w:val="00A93594"/>
    <w:rsid w:val="00A93D9D"/>
    <w:rsid w:val="00A955E1"/>
    <w:rsid w:val="00A96053"/>
    <w:rsid w:val="00A96BA8"/>
    <w:rsid w:val="00AA4FA7"/>
    <w:rsid w:val="00AB197D"/>
    <w:rsid w:val="00AC73F3"/>
    <w:rsid w:val="00AD1715"/>
    <w:rsid w:val="00AD5C87"/>
    <w:rsid w:val="00AF660A"/>
    <w:rsid w:val="00AF72BC"/>
    <w:rsid w:val="00B10D9A"/>
    <w:rsid w:val="00B12C75"/>
    <w:rsid w:val="00B160AF"/>
    <w:rsid w:val="00B228AC"/>
    <w:rsid w:val="00B23A91"/>
    <w:rsid w:val="00B25924"/>
    <w:rsid w:val="00B27D8C"/>
    <w:rsid w:val="00B31923"/>
    <w:rsid w:val="00B35A27"/>
    <w:rsid w:val="00B40EE2"/>
    <w:rsid w:val="00B43CBC"/>
    <w:rsid w:val="00B46145"/>
    <w:rsid w:val="00B505A9"/>
    <w:rsid w:val="00B522C9"/>
    <w:rsid w:val="00B552C0"/>
    <w:rsid w:val="00B64F2F"/>
    <w:rsid w:val="00B721CB"/>
    <w:rsid w:val="00B73950"/>
    <w:rsid w:val="00B751EB"/>
    <w:rsid w:val="00B8388A"/>
    <w:rsid w:val="00B97B4E"/>
    <w:rsid w:val="00B97EB9"/>
    <w:rsid w:val="00BA0D92"/>
    <w:rsid w:val="00BD0A5E"/>
    <w:rsid w:val="00BE22FE"/>
    <w:rsid w:val="00BE7B7F"/>
    <w:rsid w:val="00C05DEB"/>
    <w:rsid w:val="00C22990"/>
    <w:rsid w:val="00C27590"/>
    <w:rsid w:val="00C30313"/>
    <w:rsid w:val="00C32DD5"/>
    <w:rsid w:val="00C36F87"/>
    <w:rsid w:val="00C41163"/>
    <w:rsid w:val="00C44696"/>
    <w:rsid w:val="00C4764D"/>
    <w:rsid w:val="00C51ACF"/>
    <w:rsid w:val="00C614E7"/>
    <w:rsid w:val="00C61FCA"/>
    <w:rsid w:val="00C6269B"/>
    <w:rsid w:val="00C636CE"/>
    <w:rsid w:val="00C66BE1"/>
    <w:rsid w:val="00C72030"/>
    <w:rsid w:val="00C764FD"/>
    <w:rsid w:val="00C87D8D"/>
    <w:rsid w:val="00C915B8"/>
    <w:rsid w:val="00C9249C"/>
    <w:rsid w:val="00CA2A87"/>
    <w:rsid w:val="00CA5E70"/>
    <w:rsid w:val="00CB3BDA"/>
    <w:rsid w:val="00CC15E1"/>
    <w:rsid w:val="00CE2363"/>
    <w:rsid w:val="00CE53D7"/>
    <w:rsid w:val="00CE56CE"/>
    <w:rsid w:val="00CF29F2"/>
    <w:rsid w:val="00D01555"/>
    <w:rsid w:val="00D15F6D"/>
    <w:rsid w:val="00D22F14"/>
    <w:rsid w:val="00D27310"/>
    <w:rsid w:val="00D30457"/>
    <w:rsid w:val="00D30EF7"/>
    <w:rsid w:val="00D334CF"/>
    <w:rsid w:val="00D3793F"/>
    <w:rsid w:val="00D40665"/>
    <w:rsid w:val="00D4146C"/>
    <w:rsid w:val="00D446B6"/>
    <w:rsid w:val="00D462FB"/>
    <w:rsid w:val="00D4649E"/>
    <w:rsid w:val="00D46F8D"/>
    <w:rsid w:val="00D475A7"/>
    <w:rsid w:val="00D53890"/>
    <w:rsid w:val="00D54EF5"/>
    <w:rsid w:val="00D70E9C"/>
    <w:rsid w:val="00D761A8"/>
    <w:rsid w:val="00D76307"/>
    <w:rsid w:val="00D80213"/>
    <w:rsid w:val="00D81AA9"/>
    <w:rsid w:val="00D86BB7"/>
    <w:rsid w:val="00D91B5C"/>
    <w:rsid w:val="00D92AAE"/>
    <w:rsid w:val="00DA6885"/>
    <w:rsid w:val="00DC4D56"/>
    <w:rsid w:val="00DC5587"/>
    <w:rsid w:val="00DC751D"/>
    <w:rsid w:val="00DD3447"/>
    <w:rsid w:val="00DE0C70"/>
    <w:rsid w:val="00DE2F98"/>
    <w:rsid w:val="00DE7D9E"/>
    <w:rsid w:val="00DF78C3"/>
    <w:rsid w:val="00E007CA"/>
    <w:rsid w:val="00E02398"/>
    <w:rsid w:val="00E1441D"/>
    <w:rsid w:val="00E17324"/>
    <w:rsid w:val="00E22D74"/>
    <w:rsid w:val="00E30C29"/>
    <w:rsid w:val="00E33455"/>
    <w:rsid w:val="00E338FD"/>
    <w:rsid w:val="00E43D8F"/>
    <w:rsid w:val="00E462FA"/>
    <w:rsid w:val="00E500AD"/>
    <w:rsid w:val="00E64AEC"/>
    <w:rsid w:val="00E65F04"/>
    <w:rsid w:val="00E6717B"/>
    <w:rsid w:val="00E67F7F"/>
    <w:rsid w:val="00E818A8"/>
    <w:rsid w:val="00E87F60"/>
    <w:rsid w:val="00E91E16"/>
    <w:rsid w:val="00E93EF7"/>
    <w:rsid w:val="00E94168"/>
    <w:rsid w:val="00E945E2"/>
    <w:rsid w:val="00EA653A"/>
    <w:rsid w:val="00EB0C70"/>
    <w:rsid w:val="00EB596F"/>
    <w:rsid w:val="00EC285D"/>
    <w:rsid w:val="00EC49C1"/>
    <w:rsid w:val="00EC6420"/>
    <w:rsid w:val="00ED3C66"/>
    <w:rsid w:val="00EE4F3D"/>
    <w:rsid w:val="00EE60EE"/>
    <w:rsid w:val="00EF37F5"/>
    <w:rsid w:val="00EF55B8"/>
    <w:rsid w:val="00EF7DC7"/>
    <w:rsid w:val="00F01A98"/>
    <w:rsid w:val="00F04726"/>
    <w:rsid w:val="00F21BDC"/>
    <w:rsid w:val="00F23093"/>
    <w:rsid w:val="00F30FCB"/>
    <w:rsid w:val="00F32DC3"/>
    <w:rsid w:val="00F33129"/>
    <w:rsid w:val="00F40514"/>
    <w:rsid w:val="00F40E74"/>
    <w:rsid w:val="00F5700F"/>
    <w:rsid w:val="00F60B9A"/>
    <w:rsid w:val="00F648C7"/>
    <w:rsid w:val="00F65251"/>
    <w:rsid w:val="00F65F37"/>
    <w:rsid w:val="00F734D9"/>
    <w:rsid w:val="00F74220"/>
    <w:rsid w:val="00F77493"/>
    <w:rsid w:val="00F83562"/>
    <w:rsid w:val="00F85D63"/>
    <w:rsid w:val="00F85DA4"/>
    <w:rsid w:val="00F8728C"/>
    <w:rsid w:val="00F87A6F"/>
    <w:rsid w:val="00F90C5F"/>
    <w:rsid w:val="00FA0C60"/>
    <w:rsid w:val="00FA2CE6"/>
    <w:rsid w:val="00FB6939"/>
    <w:rsid w:val="00FC352A"/>
    <w:rsid w:val="00FD4D1F"/>
    <w:rsid w:val="00FD538B"/>
    <w:rsid w:val="00FE0D83"/>
    <w:rsid w:val="00FF2AB2"/>
    <w:rsid w:val="00FF510D"/>
    <w:rsid w:val="00FF70D7"/>
    <w:rsid w:val="00FF7C8B"/>
    <w:rsid w:val="022516A8"/>
    <w:rsid w:val="02740815"/>
    <w:rsid w:val="02DE3352"/>
    <w:rsid w:val="031421DC"/>
    <w:rsid w:val="0378563B"/>
    <w:rsid w:val="03B3400F"/>
    <w:rsid w:val="042450C8"/>
    <w:rsid w:val="046B2F54"/>
    <w:rsid w:val="04CD2E69"/>
    <w:rsid w:val="04E870B3"/>
    <w:rsid w:val="05AD45F6"/>
    <w:rsid w:val="064D08FF"/>
    <w:rsid w:val="0668353D"/>
    <w:rsid w:val="07563FF1"/>
    <w:rsid w:val="079444BF"/>
    <w:rsid w:val="07A351D0"/>
    <w:rsid w:val="088E2AB4"/>
    <w:rsid w:val="091E12D9"/>
    <w:rsid w:val="0B8059AD"/>
    <w:rsid w:val="0B9C463E"/>
    <w:rsid w:val="0BC62A15"/>
    <w:rsid w:val="0C031DB4"/>
    <w:rsid w:val="0F2B7B26"/>
    <w:rsid w:val="0F743702"/>
    <w:rsid w:val="100C31D5"/>
    <w:rsid w:val="10571BBC"/>
    <w:rsid w:val="10CA1771"/>
    <w:rsid w:val="11087AF3"/>
    <w:rsid w:val="12003BFF"/>
    <w:rsid w:val="136C2CC2"/>
    <w:rsid w:val="14690A40"/>
    <w:rsid w:val="14B86DC4"/>
    <w:rsid w:val="14C64BEC"/>
    <w:rsid w:val="14CA5A8A"/>
    <w:rsid w:val="15F57363"/>
    <w:rsid w:val="169819B4"/>
    <w:rsid w:val="17486973"/>
    <w:rsid w:val="17FB1BA0"/>
    <w:rsid w:val="19304820"/>
    <w:rsid w:val="19790228"/>
    <w:rsid w:val="1A3150F3"/>
    <w:rsid w:val="1AA0401F"/>
    <w:rsid w:val="1DD827C8"/>
    <w:rsid w:val="1FCF367B"/>
    <w:rsid w:val="206B06C0"/>
    <w:rsid w:val="21492939"/>
    <w:rsid w:val="21B434DF"/>
    <w:rsid w:val="22154E1B"/>
    <w:rsid w:val="239A6BC4"/>
    <w:rsid w:val="23BF7940"/>
    <w:rsid w:val="2473119B"/>
    <w:rsid w:val="26A809E6"/>
    <w:rsid w:val="2A09566D"/>
    <w:rsid w:val="2AD16CBF"/>
    <w:rsid w:val="2BFB148E"/>
    <w:rsid w:val="2C811793"/>
    <w:rsid w:val="2D9D06E4"/>
    <w:rsid w:val="2D9F6A46"/>
    <w:rsid w:val="2DB917D9"/>
    <w:rsid w:val="2EDC4FC4"/>
    <w:rsid w:val="2F12441C"/>
    <w:rsid w:val="2F9362AF"/>
    <w:rsid w:val="30122F6E"/>
    <w:rsid w:val="30152917"/>
    <w:rsid w:val="30507E04"/>
    <w:rsid w:val="3119524D"/>
    <w:rsid w:val="323703B5"/>
    <w:rsid w:val="341076EC"/>
    <w:rsid w:val="34967EA3"/>
    <w:rsid w:val="34EA0B34"/>
    <w:rsid w:val="354E41DB"/>
    <w:rsid w:val="36892D2E"/>
    <w:rsid w:val="37180145"/>
    <w:rsid w:val="38B3694E"/>
    <w:rsid w:val="38F66683"/>
    <w:rsid w:val="39742B18"/>
    <w:rsid w:val="39E84D6F"/>
    <w:rsid w:val="3A5E0EFA"/>
    <w:rsid w:val="3A9B533C"/>
    <w:rsid w:val="3AD73FBC"/>
    <w:rsid w:val="3C03033D"/>
    <w:rsid w:val="3C381743"/>
    <w:rsid w:val="3C7C7425"/>
    <w:rsid w:val="3CC418AA"/>
    <w:rsid w:val="3CDE26A0"/>
    <w:rsid w:val="3F374B19"/>
    <w:rsid w:val="3F85754F"/>
    <w:rsid w:val="40143E43"/>
    <w:rsid w:val="405A25BA"/>
    <w:rsid w:val="40903735"/>
    <w:rsid w:val="42070DF0"/>
    <w:rsid w:val="42AC7C32"/>
    <w:rsid w:val="43046F38"/>
    <w:rsid w:val="43995F2A"/>
    <w:rsid w:val="45734C11"/>
    <w:rsid w:val="459B211B"/>
    <w:rsid w:val="46E64D11"/>
    <w:rsid w:val="47AF258A"/>
    <w:rsid w:val="486725C3"/>
    <w:rsid w:val="4A480F6C"/>
    <w:rsid w:val="4B6A38AC"/>
    <w:rsid w:val="4BC42C29"/>
    <w:rsid w:val="4C710F17"/>
    <w:rsid w:val="4D125940"/>
    <w:rsid w:val="4D4964A5"/>
    <w:rsid w:val="4D6A2CF5"/>
    <w:rsid w:val="4E5B23A5"/>
    <w:rsid w:val="4EE54797"/>
    <w:rsid w:val="4F035350"/>
    <w:rsid w:val="4FA109E7"/>
    <w:rsid w:val="4FCE73B7"/>
    <w:rsid w:val="50083C27"/>
    <w:rsid w:val="501274A5"/>
    <w:rsid w:val="50202378"/>
    <w:rsid w:val="51644879"/>
    <w:rsid w:val="51817C89"/>
    <w:rsid w:val="51B113F5"/>
    <w:rsid w:val="52194633"/>
    <w:rsid w:val="52D55BF7"/>
    <w:rsid w:val="54B31911"/>
    <w:rsid w:val="54D549AB"/>
    <w:rsid w:val="58FE4D84"/>
    <w:rsid w:val="592025F8"/>
    <w:rsid w:val="59774600"/>
    <w:rsid w:val="59FB3809"/>
    <w:rsid w:val="5B461B6B"/>
    <w:rsid w:val="5C177915"/>
    <w:rsid w:val="5C801C72"/>
    <w:rsid w:val="5DD463E7"/>
    <w:rsid w:val="5E6B0686"/>
    <w:rsid w:val="5F767A20"/>
    <w:rsid w:val="5FD93B1F"/>
    <w:rsid w:val="5FDD6E37"/>
    <w:rsid w:val="600E5283"/>
    <w:rsid w:val="60B33738"/>
    <w:rsid w:val="60DA6D23"/>
    <w:rsid w:val="61A71A5F"/>
    <w:rsid w:val="623F4168"/>
    <w:rsid w:val="62907C40"/>
    <w:rsid w:val="62940808"/>
    <w:rsid w:val="630E1391"/>
    <w:rsid w:val="633B667E"/>
    <w:rsid w:val="64085B12"/>
    <w:rsid w:val="655D305B"/>
    <w:rsid w:val="658D4468"/>
    <w:rsid w:val="65BF6A56"/>
    <w:rsid w:val="6632531A"/>
    <w:rsid w:val="676656CF"/>
    <w:rsid w:val="6A9B3383"/>
    <w:rsid w:val="6ACE55D2"/>
    <w:rsid w:val="6B854732"/>
    <w:rsid w:val="6C1A2BE6"/>
    <w:rsid w:val="6C407CF2"/>
    <w:rsid w:val="6C4340E9"/>
    <w:rsid w:val="6C4E5A84"/>
    <w:rsid w:val="6D2445E4"/>
    <w:rsid w:val="6E3C7818"/>
    <w:rsid w:val="6E5726B5"/>
    <w:rsid w:val="6EDB5DB6"/>
    <w:rsid w:val="719721EE"/>
    <w:rsid w:val="730E6172"/>
    <w:rsid w:val="7380576C"/>
    <w:rsid w:val="749D3B1A"/>
    <w:rsid w:val="74D45750"/>
    <w:rsid w:val="7728234D"/>
    <w:rsid w:val="7A92612F"/>
    <w:rsid w:val="7AB35901"/>
    <w:rsid w:val="7AF65AA6"/>
    <w:rsid w:val="7B08648E"/>
    <w:rsid w:val="7B764324"/>
    <w:rsid w:val="7CAD755E"/>
    <w:rsid w:val="7E9B616C"/>
    <w:rsid w:val="7EC55FE6"/>
    <w:rsid w:val="7FF7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8"/>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outlineLvl w:val="0"/>
    </w:pPr>
    <w:rPr>
      <w:b/>
      <w:kern w:val="44"/>
      <w:sz w:val="44"/>
    </w:rPr>
  </w:style>
  <w:style w:type="paragraph" w:styleId="3">
    <w:name w:val="heading 2"/>
    <w:basedOn w:val="2"/>
    <w:next w:val="1"/>
    <w:unhideWhenUsed/>
    <w:qFormat/>
    <w:uiPriority w:val="0"/>
    <w:pPr>
      <w:keepNext/>
      <w:keepLines/>
      <w:spacing w:before="260" w:beforeLines="0" w:beforeAutospacing="0" w:after="260" w:afterLines="0" w:afterAutospacing="0" w:line="413" w:lineRule="auto"/>
      <w:ind w:firstLine="0" w:firstLineChars="0"/>
      <w:outlineLvl w:val="1"/>
    </w:pPr>
    <w:rPr>
      <w:rFonts w:ascii="Times New Roman" w:hAnsi="Times New Roman" w:eastAsia="黑体" w:cs="Times New Roman"/>
      <w:sz w:val="32"/>
    </w:rPr>
  </w:style>
  <w:style w:type="paragraph" w:styleId="4">
    <w:name w:val="heading 3"/>
    <w:basedOn w:val="3"/>
    <w:next w:val="1"/>
    <w:unhideWhenUsed/>
    <w:qFormat/>
    <w:uiPriority w:val="0"/>
    <w:pPr>
      <w:keepNext/>
      <w:keepLines/>
      <w:spacing w:before="260" w:beforeLines="0" w:beforeAutospacing="0" w:after="260" w:afterLines="0" w:afterAutospacing="0" w:line="413" w:lineRule="auto"/>
      <w:ind w:firstLine="0" w:firstLineChars="0"/>
      <w:outlineLvl w:val="2"/>
    </w:pPr>
    <w:rPr>
      <w:rFonts w:ascii="Times New Roman" w:hAnsi="Times New Roman" w:eastAsia="宋体" w:cs="Times New Roman"/>
      <w:sz w:val="30"/>
    </w:rPr>
  </w:style>
  <w:style w:type="paragraph" w:styleId="5">
    <w:name w:val="heading 5"/>
    <w:basedOn w:val="1"/>
    <w:next w:val="1"/>
    <w:unhideWhenUsed/>
    <w:qFormat/>
    <w:uiPriority w:val="0"/>
    <w:pPr>
      <w:keepNext/>
      <w:keepLines/>
      <w:spacing w:before="280" w:after="290" w:line="376" w:lineRule="auto"/>
      <w:ind w:firstLine="0" w:firstLineChars="0"/>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Body Text"/>
    <w:basedOn w:val="1"/>
    <w:next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Body Text Indent 2"/>
    <w:basedOn w:val="1"/>
    <w:qFormat/>
    <w:uiPriority w:val="0"/>
    <w:pPr>
      <w:spacing w:after="120" w:afterLines="0" w:afterAutospacing="0" w:line="480" w:lineRule="auto"/>
      <w:ind w:left="420" w:leftChars="200"/>
    </w:pPr>
  </w:style>
  <w:style w:type="paragraph" w:styleId="10">
    <w:name w:val="Balloon Text"/>
    <w:basedOn w:val="1"/>
    <w:link w:val="30"/>
    <w:unhideWhenUsed/>
    <w:qFormat/>
    <w:uiPriority w:val="99"/>
    <w:rPr>
      <w:sz w:val="18"/>
      <w:szCs w:val="18"/>
    </w:rPr>
  </w:style>
  <w:style w:type="paragraph" w:styleId="11">
    <w:name w:val="footer"/>
    <w:basedOn w:val="1"/>
    <w:link w:val="26"/>
    <w:unhideWhenUsed/>
    <w:qFormat/>
    <w:uiPriority w:val="0"/>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Autospacing="1" w:afterAutospacing="1"/>
      <w:jc w:val="left"/>
    </w:pPr>
    <w:rPr>
      <w:rFonts w:cs="Times New Roman" w:asciiTheme="minorHAnsi" w:hAnsiTheme="minorHAnsi" w:eastAsiaTheme="minorEastAsia"/>
      <w:kern w:val="0"/>
      <w:sz w:val="24"/>
      <w:szCs w:val="24"/>
    </w:rPr>
  </w:style>
  <w:style w:type="paragraph" w:styleId="16">
    <w:name w:val="Title"/>
    <w:basedOn w:val="5"/>
    <w:next w:val="1"/>
    <w:link w:val="42"/>
    <w:qFormat/>
    <w:uiPriority w:val="10"/>
    <w:pPr>
      <w:spacing w:before="240" w:after="60"/>
      <w:jc w:val="center"/>
      <w:outlineLvl w:val="0"/>
    </w:pPr>
    <w:rPr>
      <w:rFonts w:eastAsia="宋体" w:asciiTheme="majorHAnsi" w:hAnsiTheme="majorHAnsi" w:cstheme="majorBidi"/>
      <w:sz w:val="32"/>
      <w:szCs w:val="32"/>
    </w:rPr>
  </w:style>
  <w:style w:type="paragraph" w:styleId="17">
    <w:name w:val="Body Text First Indent 2"/>
    <w:basedOn w:val="8"/>
    <w:qFormat/>
    <w:uiPriority w:val="0"/>
    <w:pPr>
      <w:ind w:firstLine="420" w:firstLineChars="200"/>
    </w:pPr>
    <w:rPr>
      <w:rFonts w:ascii="Calibri" w:hAnsi="Calibri" w:eastAsia="宋体" w:cs="Times New Roman"/>
      <w:sz w:val="3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unhideWhenUsed/>
    <w:qFormat/>
    <w:uiPriority w:val="99"/>
    <w:rPr>
      <w:sz w:val="21"/>
      <w:szCs w:val="21"/>
    </w:rPr>
  </w:style>
  <w:style w:type="paragraph" w:customStyle="1" w:styleId="23">
    <w:name w:val="xl27"/>
    <w:basedOn w:val="1"/>
    <w:qFormat/>
    <w:uiPriority w:val="0"/>
    <w:pPr>
      <w:widowControl/>
      <w:spacing w:before="100" w:beforeAutospacing="1" w:after="100" w:afterAutospacing="1"/>
      <w:jc w:val="center"/>
    </w:pPr>
    <w:rPr>
      <w:rFonts w:hint="eastAsia" w:ascii="楷体_GB2312" w:hAnsi="Arial Unicode MS" w:eastAsia="楷体_GB2312"/>
      <w:kern w:val="0"/>
      <w:szCs w:val="28"/>
    </w:rPr>
  </w:style>
  <w:style w:type="paragraph" w:customStyle="1" w:styleId="24">
    <w:name w:val="标准文字"/>
    <w:basedOn w:val="1"/>
    <w:link w:val="27"/>
    <w:qFormat/>
    <w:uiPriority w:val="0"/>
    <w:pPr>
      <w:overflowPunct w:val="0"/>
      <w:spacing w:line="360" w:lineRule="auto"/>
      <w:ind w:firstLine="600" w:firstLineChars="200"/>
    </w:pPr>
    <w:rPr>
      <w:rFonts w:ascii="Times New Roman" w:hAnsi="Times New Roman" w:eastAsia="仿宋_GB2312" w:cs="Times New Roman"/>
      <w:sz w:val="30"/>
      <w:szCs w:val="30"/>
    </w:rPr>
  </w:style>
  <w:style w:type="character" w:customStyle="1" w:styleId="25">
    <w:name w:val="页脚 字符"/>
    <w:semiHidden/>
    <w:qFormat/>
    <w:uiPriority w:val="99"/>
    <w:rPr>
      <w:sz w:val="18"/>
      <w:szCs w:val="18"/>
    </w:rPr>
  </w:style>
  <w:style w:type="character" w:customStyle="1" w:styleId="26">
    <w:name w:val="页脚 Char"/>
    <w:link w:val="11"/>
    <w:qFormat/>
    <w:uiPriority w:val="0"/>
    <w:rPr>
      <w:sz w:val="18"/>
      <w:szCs w:val="18"/>
    </w:rPr>
  </w:style>
  <w:style w:type="character" w:customStyle="1" w:styleId="27">
    <w:name w:val="标准文字 Char"/>
    <w:link w:val="24"/>
    <w:qFormat/>
    <w:locked/>
    <w:uiPriority w:val="0"/>
    <w:rPr>
      <w:rFonts w:ascii="Times New Roman" w:hAnsi="Times New Roman" w:eastAsia="仿宋_GB2312" w:cs="Times New Roman"/>
      <w:sz w:val="30"/>
      <w:szCs w:val="30"/>
    </w:rPr>
  </w:style>
  <w:style w:type="character" w:customStyle="1" w:styleId="28">
    <w:name w:val="NormalCharacter"/>
    <w:qFormat/>
    <w:uiPriority w:val="0"/>
  </w:style>
  <w:style w:type="character" w:customStyle="1" w:styleId="29">
    <w:name w:val="页眉 Char"/>
    <w:link w:val="12"/>
    <w:qFormat/>
    <w:uiPriority w:val="99"/>
    <w:rPr>
      <w:sz w:val="18"/>
      <w:szCs w:val="18"/>
    </w:rPr>
  </w:style>
  <w:style w:type="character" w:customStyle="1" w:styleId="30">
    <w:name w:val="批注框文本 Char"/>
    <w:link w:val="10"/>
    <w:semiHidden/>
    <w:qFormat/>
    <w:uiPriority w:val="99"/>
    <w:rPr>
      <w:sz w:val="18"/>
      <w:szCs w:val="18"/>
    </w:rPr>
  </w:style>
  <w:style w:type="table" w:customStyle="1" w:styleId="31">
    <w:name w:val="TableGrid"/>
    <w:qFormat/>
    <w:uiPriority w:val="0"/>
    <w:tblPr>
      <w:tblCellMar>
        <w:top w:w="0" w:type="dxa"/>
        <w:left w:w="0" w:type="dxa"/>
        <w:bottom w:w="0" w:type="dxa"/>
        <w:right w:w="0" w:type="dxa"/>
      </w:tblCellMar>
    </w:tblPr>
  </w:style>
  <w:style w:type="character" w:customStyle="1" w:styleId="32">
    <w:name w:val="font61"/>
    <w:basedOn w:val="20"/>
    <w:qFormat/>
    <w:uiPriority w:val="0"/>
    <w:rPr>
      <w:rFonts w:hint="default" w:ascii="仿宋_GB2312" w:eastAsia="仿宋_GB2312" w:cs="仿宋_GB2312"/>
      <w:b/>
      <w:color w:val="000000"/>
      <w:sz w:val="24"/>
      <w:szCs w:val="24"/>
      <w:u w:val="none"/>
    </w:rPr>
  </w:style>
  <w:style w:type="character" w:customStyle="1" w:styleId="33">
    <w:name w:val="font71"/>
    <w:basedOn w:val="20"/>
    <w:qFormat/>
    <w:uiPriority w:val="0"/>
    <w:rPr>
      <w:rFonts w:hint="default" w:ascii="仿宋_GB2312" w:eastAsia="仿宋_GB2312" w:cs="仿宋_GB2312"/>
      <w:color w:val="000000"/>
      <w:sz w:val="24"/>
      <w:szCs w:val="24"/>
      <w:u w:val="none"/>
    </w:rPr>
  </w:style>
  <w:style w:type="character" w:customStyle="1" w:styleId="34">
    <w:name w:val="font81"/>
    <w:basedOn w:val="20"/>
    <w:qFormat/>
    <w:uiPriority w:val="0"/>
    <w:rPr>
      <w:rFonts w:hint="default" w:ascii="Times New Roman" w:hAnsi="Times New Roman" w:cs="Times New Roman"/>
      <w:color w:val="000000"/>
      <w:sz w:val="14"/>
      <w:szCs w:val="14"/>
      <w:u w:val="none"/>
    </w:rPr>
  </w:style>
  <w:style w:type="character" w:customStyle="1" w:styleId="35">
    <w:name w:val="font31"/>
    <w:basedOn w:val="20"/>
    <w:qFormat/>
    <w:uiPriority w:val="0"/>
    <w:rPr>
      <w:rFonts w:hint="default" w:ascii="仿宋_GB2312" w:eastAsia="仿宋_GB2312" w:cs="仿宋_GB2312"/>
      <w:color w:val="000000"/>
      <w:sz w:val="24"/>
      <w:szCs w:val="24"/>
      <w:u w:val="none"/>
    </w:rPr>
  </w:style>
  <w:style w:type="character" w:customStyle="1" w:styleId="36">
    <w:name w:val="font11"/>
    <w:basedOn w:val="20"/>
    <w:qFormat/>
    <w:uiPriority w:val="0"/>
    <w:rPr>
      <w:rFonts w:hint="default" w:ascii="仿宋_GB2312" w:eastAsia="仿宋_GB2312" w:cs="仿宋_GB2312"/>
      <w:b/>
      <w:color w:val="000000"/>
      <w:sz w:val="24"/>
      <w:szCs w:val="24"/>
      <w:u w:val="none"/>
    </w:rPr>
  </w:style>
  <w:style w:type="character" w:customStyle="1" w:styleId="37">
    <w:name w:val="font41"/>
    <w:basedOn w:val="20"/>
    <w:qFormat/>
    <w:uiPriority w:val="0"/>
    <w:rPr>
      <w:rFonts w:hint="default" w:ascii="Times New Roman" w:hAnsi="Times New Roman" w:cs="Times New Roman"/>
      <w:color w:val="000000"/>
      <w:sz w:val="21"/>
      <w:szCs w:val="21"/>
      <w:u w:val="none"/>
    </w:rPr>
  </w:style>
  <w:style w:type="paragraph" w:customStyle="1" w:styleId="38">
    <w:name w:val="S正文"/>
    <w:basedOn w:val="1"/>
    <w:link w:val="39"/>
    <w:qFormat/>
    <w:uiPriority w:val="0"/>
    <w:pPr>
      <w:wordWrap w:val="0"/>
      <w:spacing w:line="360" w:lineRule="auto"/>
      <w:ind w:firstLine="480" w:firstLineChars="200"/>
    </w:pPr>
    <w:rPr>
      <w:rFonts w:ascii="Times New Roman" w:hAnsi="Times New Roman" w:eastAsia="宋体" w:cs="Times New Roman"/>
      <w:sz w:val="24"/>
    </w:rPr>
  </w:style>
  <w:style w:type="character" w:customStyle="1" w:styleId="39">
    <w:name w:val="S正文 字符"/>
    <w:link w:val="38"/>
    <w:qFormat/>
    <w:uiPriority w:val="0"/>
    <w:rPr>
      <w:kern w:val="2"/>
      <w:sz w:val="24"/>
      <w:szCs w:val="22"/>
    </w:rPr>
  </w:style>
  <w:style w:type="paragraph" w:customStyle="1" w:styleId="40">
    <w:name w:val="S表正文"/>
    <w:basedOn w:val="16"/>
    <w:link w:val="41"/>
    <w:qFormat/>
    <w:uiPriority w:val="0"/>
    <w:pPr>
      <w:wordWrap w:val="0"/>
      <w:spacing w:before="0" w:after="0"/>
      <w:outlineLvl w:val="9"/>
    </w:pPr>
    <w:rPr>
      <w:rFonts w:ascii="Times New Roman" w:hAnsi="Times New Roman" w:cs="Times New Roman"/>
      <w:b w:val="0"/>
      <w:bCs w:val="0"/>
      <w:sz w:val="21"/>
    </w:rPr>
  </w:style>
  <w:style w:type="character" w:customStyle="1" w:styleId="41">
    <w:name w:val="S表正文 字符"/>
    <w:link w:val="40"/>
    <w:qFormat/>
    <w:uiPriority w:val="0"/>
    <w:rPr>
      <w:kern w:val="2"/>
      <w:sz w:val="21"/>
      <w:szCs w:val="32"/>
    </w:rPr>
  </w:style>
  <w:style w:type="character" w:customStyle="1" w:styleId="42">
    <w:name w:val="标题 Char"/>
    <w:basedOn w:val="20"/>
    <w:link w:val="16"/>
    <w:qFormat/>
    <w:uiPriority w:val="10"/>
    <w:rPr>
      <w:rFonts w:asciiTheme="majorHAnsi" w:hAnsiTheme="majorHAnsi" w:cstheme="majorBidi"/>
      <w:b/>
      <w:bCs/>
      <w:kern w:val="2"/>
      <w:sz w:val="32"/>
      <w:szCs w:val="32"/>
    </w:rPr>
  </w:style>
  <w:style w:type="paragraph" w:customStyle="1" w:styleId="43">
    <w:name w:val="Body Text First Indent 2"/>
    <w:basedOn w:val="44"/>
    <w:qFormat/>
    <w:uiPriority w:val="0"/>
    <w:pPr>
      <w:ind w:firstLine="420" w:firstLineChars="200"/>
    </w:pPr>
    <w:rPr>
      <w:rFonts w:ascii="Calibri" w:hAnsi="Calibri" w:eastAsia="宋体" w:cs="Times New Roman"/>
      <w:sz w:val="32"/>
    </w:rPr>
  </w:style>
  <w:style w:type="paragraph" w:customStyle="1" w:styleId="44">
    <w:name w:val="Body Text Indent"/>
    <w:basedOn w:val="1"/>
    <w:qFormat/>
    <w:uiPriority w:val="0"/>
    <w:pPr>
      <w:spacing w:after="120" w:afterLines="0"/>
      <w:ind w:left="420" w:leftChars="200"/>
    </w:pPr>
  </w:style>
  <w:style w:type="character" w:customStyle="1" w:styleId="45">
    <w:name w:val="font21"/>
    <w:basedOn w:val="20"/>
    <w:qFormat/>
    <w:uiPriority w:val="0"/>
    <w:rPr>
      <w:rFonts w:hint="default" w:ascii="Times New Roman" w:hAnsi="Times New Roman" w:cs="Times New Roman"/>
      <w:color w:val="000000"/>
      <w:sz w:val="18"/>
      <w:szCs w:val="18"/>
      <w:u w:val="none"/>
    </w:rPr>
  </w:style>
  <w:style w:type="paragraph" w:customStyle="1" w:styleId="46">
    <w:name w:val="表格文字-五号"/>
    <w:basedOn w:val="1"/>
    <w:next w:val="1"/>
    <w:qFormat/>
    <w:uiPriority w:val="0"/>
    <w:pPr>
      <w:widowControl/>
      <w:tabs>
        <w:tab w:val="left" w:pos="2340"/>
      </w:tabs>
      <w:adjustRightInd w:val="0"/>
      <w:snapToGrid w:val="0"/>
      <w:spacing w:line="240" w:lineRule="auto"/>
      <w:ind w:firstLine="0" w:firstLineChars="0"/>
      <w:jc w:val="center"/>
    </w:pPr>
    <w:rPr>
      <w:rFonts w:eastAsia="华文仿宋"/>
      <w:color w:val="000000"/>
      <w:sz w:val="21"/>
    </w:rPr>
  </w:style>
  <w:style w:type="paragraph" w:customStyle="1" w:styleId="47">
    <w:name w:val=" Char"/>
    <w:basedOn w:val="1"/>
    <w:qFormat/>
    <w:uiPriority w:val="0"/>
    <w:pPr>
      <w:ind w:firstLine="200" w:firstLineChars="200"/>
      <w:jc w:val="left"/>
    </w:pPr>
    <w:rPr>
      <w:rFonts w:ascii="Tahoma" w:hAnsi="Tahoma"/>
      <w:kern w:val="0"/>
      <w:sz w:val="24"/>
      <w:szCs w:val="20"/>
    </w:rPr>
  </w:style>
  <w:style w:type="paragraph" w:customStyle="1" w:styleId="48">
    <w:name w:val="C正文"/>
    <w:basedOn w:val="1"/>
    <w:qFormat/>
    <w:uiPriority w:val="0"/>
    <w:rPr>
      <w:lang w:val="zh-CN"/>
    </w:rPr>
  </w:style>
  <w:style w:type="paragraph" w:customStyle="1" w:styleId="49">
    <w:name w:val="正文1"/>
    <w:basedOn w:val="1"/>
    <w:qFormat/>
    <w:uiPriority w:val="0"/>
    <w:pPr>
      <w:spacing w:after="40" w:line="360" w:lineRule="auto"/>
      <w:ind w:leftChars="0" w:firstLine="560" w:firstLineChars="200"/>
    </w:pPr>
    <w:rPr>
      <w:rFonts w:ascii="Times New Roman" w:hAnsi="Times New Roman" w:eastAsia="仿宋_GB2312"/>
      <w:sz w:val="28"/>
      <w:lang w:eastAsia="en-US"/>
    </w:rPr>
  </w:style>
  <w:style w:type="paragraph" w:customStyle="1" w:styleId="50">
    <w:name w:val="S表标题"/>
    <w:next w:val="38"/>
    <w:qFormat/>
    <w:uiPriority w:val="0"/>
    <w:pPr>
      <w:keepNext/>
      <w:keepLines/>
      <w:widowControl w:val="0"/>
      <w:numPr>
        <w:ilvl w:val="4"/>
        <w:numId w:val="1"/>
      </w:numPr>
      <w:wordWrap w:val="0"/>
      <w:spacing w:before="50" w:beforeLines="50" w:after="50" w:afterLines="50"/>
      <w:ind w:left="0"/>
      <w:jc w:val="center"/>
    </w:pPr>
    <w:rPr>
      <w:rFonts w:ascii="Times New Roman" w:hAnsi="Times New Roman" w:eastAsia="宋体" w:cs="Times New Roman"/>
      <w:b/>
      <w:kern w:val="2"/>
      <w:sz w:val="21"/>
      <w:szCs w:val="32"/>
      <w:lang w:val="en-US" w:eastAsia="zh-CN" w:bidi="ar-SA"/>
    </w:rPr>
  </w:style>
  <w:style w:type="character" w:customStyle="1" w:styleId="51">
    <w:name w:val="font01"/>
    <w:basedOn w:val="20"/>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0357E-8F3B-4CF9-B318-CAD0D2E6DFA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2801</Words>
  <Characters>15969</Characters>
  <Lines>133</Lines>
  <Paragraphs>37</Paragraphs>
  <TotalTime>50</TotalTime>
  <ScaleCrop>false</ScaleCrop>
  <LinksUpToDate>false</LinksUpToDate>
  <CharactersWithSpaces>18733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2021-04-01T06:32:00Z</dcterms:created>
  <dc:creator>傲德姆</dc:creator>
  <cp:lastModifiedBy>刘继绕</cp:lastModifiedBy>
  <cp:lastPrinted>2020-12-28T02:52:00Z</cp:lastPrinted>
  <dcterms:modified xsi:type="dcterms:W3CDTF">2022-03-02T14:05:44Z</dcterms:modified>
  <dc:title>x x 省x x市城市黑臭水体</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A5FA8F31ACED4C80BF8480520E9377D4</vt:lpwstr>
  </property>
</Properties>
</file>